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EC9" w:rsidRDefault="000D7AD3">
      <w:r>
        <w:rPr>
          <w:noProof/>
          <w:lang w:eastAsia="ru-RU"/>
        </w:rPr>
        <w:pict>
          <v:group id="_x0000_s1035" style="position:absolute;margin-left:-29.35pt;margin-top:-35.95pt;width:536pt;height:115.5pt;z-index:251667456" coordorigin="516,415" coordsize="10720,2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942;top:1204;width:3294;height:1503">
              <v:imagedata r:id="rId5" o:title="" croptop="14586f" cropbottom="13668f" cropleft="8990f" cropright="11879f"/>
            </v:shape>
            <v:shape id="_x0000_s1032" type="#_x0000_t75" style="position:absolute;left:5165;top:415;width:2439;height:2310">
              <v:imagedata r:id="rId6" o:title=""/>
            </v:shape>
            <v:shape id="_x0000_s1033" type="#_x0000_t75" style="position:absolute;left:516;top:1404;width:4374;height:1185">
              <v:imagedata r:id="rId7" o:title=""/>
            </v:shape>
          </v:group>
        </w:pict>
      </w:r>
    </w:p>
    <w:p w:rsidR="00406440" w:rsidRDefault="00406440"/>
    <w:p w:rsidR="00406440" w:rsidRDefault="00406440" w:rsidP="00EF3B6F">
      <w:pPr>
        <w:ind w:left="-142"/>
      </w:pPr>
    </w:p>
    <w:p w:rsidR="00EF3B6F" w:rsidRDefault="008A20B5" w:rsidP="00400B0E">
      <w:pPr>
        <w:tabs>
          <w:tab w:val="left" w:pos="5447"/>
        </w:tabs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2326640</wp:posOffset>
            </wp:positionH>
            <wp:positionV relativeFrom="page">
              <wp:posOffset>1868805</wp:posOffset>
            </wp:positionV>
            <wp:extent cx="2004695" cy="892175"/>
            <wp:effectExtent l="0" t="0" r="0" b="0"/>
            <wp:wrapTight wrapText="bothSides">
              <wp:wrapPolygon edited="0">
                <wp:start x="0" y="0"/>
                <wp:lineTo x="0" y="21216"/>
                <wp:lineTo x="21347" y="21216"/>
                <wp:lineTo x="21347" y="0"/>
                <wp:lineTo x="0" y="0"/>
              </wp:wrapPolygon>
            </wp:wrapTight>
            <wp:docPr id="3" name="Рисунок 3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112" b="22104"/>
                    <a:stretch/>
                  </pic:blipFill>
                  <pic:spPr bwMode="auto">
                    <a:xfrm>
                      <a:off x="0" y="0"/>
                      <a:ext cx="20046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00B0E">
        <w:rPr>
          <w:noProof/>
          <w:lang w:eastAsia="ru-RU"/>
        </w:rPr>
        <w:tab/>
      </w:r>
    </w:p>
    <w:p w:rsidR="00EF3B6F" w:rsidRDefault="00EF3B6F">
      <w:pPr>
        <w:rPr>
          <w:color w:val="000000"/>
          <w:sz w:val="27"/>
          <w:szCs w:val="27"/>
          <w:lang w:val="en-US"/>
        </w:rPr>
      </w:pPr>
    </w:p>
    <w:p w:rsidR="008A20B5" w:rsidRDefault="008A20B5">
      <w:pPr>
        <w:rPr>
          <w:color w:val="000000"/>
          <w:sz w:val="27"/>
          <w:szCs w:val="27"/>
          <w:lang w:val="en-US"/>
        </w:rPr>
      </w:pPr>
    </w:p>
    <w:p w:rsidR="008A20B5" w:rsidRDefault="008A20B5" w:rsidP="00406440">
      <w:pPr>
        <w:jc w:val="center"/>
        <w:rPr>
          <w:b/>
          <w:sz w:val="28"/>
          <w:szCs w:val="28"/>
        </w:rPr>
      </w:pPr>
    </w:p>
    <w:p w:rsidR="00406440" w:rsidRDefault="00406440" w:rsidP="00406440">
      <w:pPr>
        <w:jc w:val="center"/>
        <w:rPr>
          <w:b/>
          <w:sz w:val="28"/>
          <w:szCs w:val="28"/>
        </w:rPr>
      </w:pPr>
      <w:r w:rsidRPr="00406440">
        <w:rPr>
          <w:b/>
          <w:sz w:val="28"/>
          <w:szCs w:val="28"/>
        </w:rPr>
        <w:t>ИНФОРМАЦИ</w:t>
      </w:r>
      <w:r w:rsidR="007B138F">
        <w:rPr>
          <w:b/>
          <w:sz w:val="28"/>
          <w:szCs w:val="28"/>
        </w:rPr>
        <w:t>О</w:t>
      </w:r>
      <w:r w:rsidRPr="00406440">
        <w:rPr>
          <w:b/>
          <w:sz w:val="28"/>
          <w:szCs w:val="28"/>
        </w:rPr>
        <w:t>ННОЕ ПИСЬМО</w:t>
      </w:r>
    </w:p>
    <w:p w:rsidR="00406440" w:rsidRPr="00406440" w:rsidRDefault="00406440" w:rsidP="00406440">
      <w:pPr>
        <w:jc w:val="center"/>
        <w:rPr>
          <w:sz w:val="24"/>
          <w:szCs w:val="24"/>
        </w:rPr>
      </w:pPr>
      <w:r w:rsidRPr="00406440">
        <w:rPr>
          <w:sz w:val="24"/>
          <w:szCs w:val="24"/>
        </w:rPr>
        <w:t>Уважаемые коллеги,</w:t>
      </w:r>
    </w:p>
    <w:p w:rsidR="00D90355" w:rsidRPr="001741B1" w:rsidRDefault="00406440" w:rsidP="00D90355">
      <w:pPr>
        <w:spacing w:after="0"/>
        <w:jc w:val="center"/>
      </w:pPr>
      <w:r w:rsidRPr="001741B1">
        <w:t xml:space="preserve">Томский национальный исследовательский медицинский центр </w:t>
      </w:r>
      <w:r w:rsidR="00A2758B" w:rsidRPr="001741B1">
        <w:t>Российской академии наук</w:t>
      </w:r>
      <w:r w:rsidR="00D90355" w:rsidRPr="001741B1">
        <w:t>,</w:t>
      </w:r>
      <w:r w:rsidRPr="001741B1">
        <w:t xml:space="preserve"> Национальный исследовательский Томский государственный университет </w:t>
      </w:r>
    </w:p>
    <w:p w:rsidR="00D90355" w:rsidRPr="001741B1" w:rsidRDefault="00406440" w:rsidP="00D90355">
      <w:pPr>
        <w:spacing w:after="0"/>
        <w:jc w:val="center"/>
      </w:pPr>
      <w:r w:rsidRPr="001741B1">
        <w:t>при поддержке администрации Томской области</w:t>
      </w:r>
      <w:r w:rsidR="008A20B5" w:rsidRPr="001741B1">
        <w:t xml:space="preserve">, </w:t>
      </w:r>
    </w:p>
    <w:p w:rsidR="00D90355" w:rsidRPr="001741B1" w:rsidRDefault="008A20B5" w:rsidP="00D90355">
      <w:pPr>
        <w:spacing w:after="0"/>
        <w:jc w:val="center"/>
      </w:pPr>
      <w:r w:rsidRPr="001741B1">
        <w:t xml:space="preserve">Фонд </w:t>
      </w:r>
      <w:proofErr w:type="spellStart"/>
      <w:r w:rsidRPr="001741B1">
        <w:t>Гейдельбергера</w:t>
      </w:r>
      <w:proofErr w:type="spellEnd"/>
      <w:r w:rsidRPr="001741B1">
        <w:t xml:space="preserve"> по изучению  рака</w:t>
      </w:r>
    </w:p>
    <w:p w:rsidR="00D90355" w:rsidRDefault="008A20B5" w:rsidP="00D90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6440">
        <w:rPr>
          <w:sz w:val="24"/>
          <w:szCs w:val="24"/>
        </w:rPr>
        <w:t xml:space="preserve"> </w:t>
      </w:r>
    </w:p>
    <w:p w:rsidR="00406440" w:rsidRPr="001741B1" w:rsidRDefault="00406440" w:rsidP="00406440">
      <w:pPr>
        <w:jc w:val="center"/>
      </w:pPr>
      <w:r w:rsidRPr="001741B1">
        <w:rPr>
          <w:b/>
        </w:rPr>
        <w:t>17-19 сентября 2018</w:t>
      </w:r>
      <w:r w:rsidRPr="001741B1">
        <w:t xml:space="preserve"> года проводят</w:t>
      </w:r>
    </w:p>
    <w:p w:rsidR="00D90355" w:rsidRPr="00D90355" w:rsidRDefault="00406440" w:rsidP="00A2758B">
      <w:pPr>
        <w:spacing w:after="100"/>
        <w:jc w:val="center"/>
        <w:rPr>
          <w:b/>
          <w:sz w:val="24"/>
          <w:szCs w:val="24"/>
        </w:rPr>
      </w:pPr>
      <w:r w:rsidRPr="00D90355">
        <w:rPr>
          <w:b/>
          <w:sz w:val="24"/>
          <w:szCs w:val="24"/>
        </w:rPr>
        <w:t xml:space="preserve">22 </w:t>
      </w:r>
      <w:r w:rsidR="00A2758B" w:rsidRPr="00D90355">
        <w:rPr>
          <w:b/>
          <w:sz w:val="24"/>
          <w:szCs w:val="24"/>
        </w:rPr>
        <w:t xml:space="preserve">МЕЖДУНАРОДНЫЙ СИМПОЗИУМ </w:t>
      </w:r>
      <w:r w:rsidRPr="00D90355">
        <w:rPr>
          <w:b/>
          <w:sz w:val="24"/>
          <w:szCs w:val="24"/>
        </w:rPr>
        <w:t>ИМЕНИ ЧАРЛЬЗА ГЕЙДЕЛЬБЕРГЕРА</w:t>
      </w:r>
      <w:r w:rsidR="00A2758B" w:rsidRPr="00D90355">
        <w:rPr>
          <w:b/>
          <w:sz w:val="24"/>
          <w:szCs w:val="24"/>
        </w:rPr>
        <w:t xml:space="preserve"> ПО ИЗУЧЕНИЮ РАКА</w:t>
      </w:r>
      <w:r w:rsidR="00D90355" w:rsidRPr="00D90355">
        <w:rPr>
          <w:b/>
          <w:sz w:val="24"/>
          <w:szCs w:val="24"/>
        </w:rPr>
        <w:t xml:space="preserve"> </w:t>
      </w:r>
    </w:p>
    <w:p w:rsidR="00406440" w:rsidRPr="00D90355" w:rsidRDefault="00D90355" w:rsidP="00A2758B">
      <w:pPr>
        <w:spacing w:after="100"/>
        <w:jc w:val="center"/>
        <w:rPr>
          <w:b/>
          <w:sz w:val="24"/>
          <w:szCs w:val="24"/>
          <w:lang w:val="en-US"/>
        </w:rPr>
      </w:pPr>
      <w:r w:rsidRPr="00A464DD">
        <w:rPr>
          <w:b/>
          <w:sz w:val="24"/>
          <w:szCs w:val="24"/>
          <w:lang w:val="en-US"/>
        </w:rPr>
        <w:t>(</w:t>
      </w:r>
      <w:r w:rsidRPr="00A464DD">
        <w:rPr>
          <w:b/>
          <w:bCs/>
          <w:sz w:val="28"/>
          <w:szCs w:val="28"/>
          <w:lang w:val="en-US"/>
        </w:rPr>
        <w:t>22</w:t>
      </w:r>
      <w:r>
        <w:rPr>
          <w:b/>
          <w:bCs/>
          <w:sz w:val="28"/>
          <w:szCs w:val="28"/>
          <w:lang w:val="en-US"/>
        </w:rPr>
        <w:t>nd</w:t>
      </w:r>
      <w:r w:rsidRPr="00A464DD">
        <w:rPr>
          <w:b/>
          <w:bCs/>
          <w:sz w:val="28"/>
          <w:szCs w:val="28"/>
          <w:lang w:val="en-US"/>
        </w:rPr>
        <w:t xml:space="preserve"> </w:t>
      </w:r>
      <w:r w:rsidRPr="00AF4D05">
        <w:rPr>
          <w:b/>
          <w:bCs/>
          <w:sz w:val="28"/>
          <w:szCs w:val="28"/>
          <w:lang w:val="en-US"/>
        </w:rPr>
        <w:t>International</w:t>
      </w:r>
      <w:r w:rsidRPr="00D90355">
        <w:rPr>
          <w:b/>
          <w:bCs/>
          <w:sz w:val="28"/>
          <w:szCs w:val="28"/>
          <w:lang w:val="en-US"/>
        </w:rPr>
        <w:t xml:space="preserve"> </w:t>
      </w:r>
      <w:r w:rsidRPr="00AF4D05">
        <w:rPr>
          <w:b/>
          <w:bCs/>
          <w:sz w:val="28"/>
          <w:szCs w:val="28"/>
          <w:lang w:val="en-US"/>
        </w:rPr>
        <w:t>Charles</w:t>
      </w:r>
      <w:r w:rsidRPr="00D90355">
        <w:rPr>
          <w:b/>
          <w:bCs/>
          <w:sz w:val="28"/>
          <w:szCs w:val="28"/>
          <w:lang w:val="en-US"/>
        </w:rPr>
        <w:t xml:space="preserve"> </w:t>
      </w:r>
      <w:r w:rsidRPr="00AF4D05">
        <w:rPr>
          <w:b/>
          <w:bCs/>
          <w:sz w:val="28"/>
          <w:szCs w:val="28"/>
          <w:lang w:val="en-US"/>
        </w:rPr>
        <w:t>Heidelberge</w:t>
      </w:r>
      <w:r>
        <w:rPr>
          <w:b/>
          <w:bCs/>
          <w:sz w:val="28"/>
          <w:szCs w:val="28"/>
          <w:lang w:val="en-US"/>
        </w:rPr>
        <w:t>r</w:t>
      </w:r>
      <w:r w:rsidRPr="00D9035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Symposium</w:t>
      </w:r>
      <w:r w:rsidRPr="00D9035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on</w:t>
      </w:r>
      <w:r w:rsidRPr="00D9035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Cancer</w:t>
      </w:r>
      <w:r w:rsidRPr="00D9035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Research</w:t>
      </w:r>
      <w:r w:rsidRPr="00D90355">
        <w:rPr>
          <w:b/>
          <w:bCs/>
          <w:sz w:val="28"/>
          <w:szCs w:val="28"/>
          <w:lang w:val="en-US"/>
        </w:rPr>
        <w:t>)</w:t>
      </w:r>
    </w:p>
    <w:p w:rsidR="00406440" w:rsidRPr="001741B1" w:rsidRDefault="00406440" w:rsidP="00406440">
      <w:pPr>
        <w:ind w:firstLine="708"/>
        <w:jc w:val="both"/>
      </w:pPr>
      <w:r w:rsidRPr="001741B1">
        <w:t>Симпозиум проводится более 20 лет в разных странах мира и собирает самое представительное сообщество известных онкологов мира, с приглашением нобелевских лауреатов в области онкологии.</w:t>
      </w:r>
    </w:p>
    <w:p w:rsidR="00406440" w:rsidRPr="001741B1" w:rsidRDefault="00A2758B" w:rsidP="00406440">
      <w:pPr>
        <w:ind w:firstLine="708"/>
        <w:jc w:val="both"/>
        <w:rPr>
          <w:b/>
          <w:i/>
        </w:rPr>
      </w:pPr>
      <w:r w:rsidRPr="001741B1">
        <w:rPr>
          <w:b/>
          <w:i/>
        </w:rPr>
        <w:t>Программа симпозиума</w:t>
      </w:r>
      <w:r w:rsidR="00406440" w:rsidRPr="001741B1">
        <w:rPr>
          <w:b/>
          <w:i/>
        </w:rPr>
        <w:t xml:space="preserve"> включает следующие основные направления: </w:t>
      </w:r>
    </w:p>
    <w:p w:rsidR="00406440" w:rsidRPr="001741B1" w:rsidRDefault="00406440" w:rsidP="00406440">
      <w:pPr>
        <w:spacing w:after="0"/>
        <w:ind w:firstLine="709"/>
        <w:jc w:val="both"/>
        <w:rPr>
          <w:lang w:val="en-US"/>
        </w:rPr>
      </w:pPr>
      <w:r w:rsidRPr="001741B1">
        <w:rPr>
          <w:lang w:val="en-US"/>
        </w:rPr>
        <w:t>• Cancer Etiology and Epidemiology;</w:t>
      </w:r>
    </w:p>
    <w:p w:rsidR="00406440" w:rsidRPr="001741B1" w:rsidRDefault="00406440" w:rsidP="00406440">
      <w:pPr>
        <w:spacing w:after="0"/>
        <w:ind w:firstLine="709"/>
        <w:jc w:val="both"/>
        <w:rPr>
          <w:lang w:val="en-US"/>
        </w:rPr>
      </w:pPr>
      <w:r w:rsidRPr="001741B1">
        <w:rPr>
          <w:lang w:val="en-US"/>
        </w:rPr>
        <w:t>• Molecular Carcinogenesis;</w:t>
      </w:r>
    </w:p>
    <w:p w:rsidR="00406440" w:rsidRPr="001741B1" w:rsidRDefault="00406440" w:rsidP="00406440">
      <w:pPr>
        <w:spacing w:after="0"/>
        <w:ind w:firstLine="709"/>
        <w:jc w:val="both"/>
        <w:rPr>
          <w:lang w:val="en-US"/>
        </w:rPr>
      </w:pPr>
      <w:r w:rsidRPr="001741B1">
        <w:rPr>
          <w:lang w:val="en-US"/>
        </w:rPr>
        <w:t>• Signal Transduction and Cancer;</w:t>
      </w:r>
    </w:p>
    <w:p w:rsidR="00406440" w:rsidRDefault="00406440" w:rsidP="00406440">
      <w:pPr>
        <w:spacing w:after="0"/>
        <w:ind w:firstLine="709"/>
        <w:jc w:val="both"/>
        <w:rPr>
          <w:lang w:val="en-US"/>
        </w:rPr>
      </w:pPr>
      <w:r w:rsidRPr="001741B1">
        <w:rPr>
          <w:lang w:val="en-US"/>
        </w:rPr>
        <w:t>• Cancer Genetics and Epigenetics;</w:t>
      </w:r>
    </w:p>
    <w:p w:rsidR="00A464DD" w:rsidRPr="00A464DD" w:rsidRDefault="00A464DD" w:rsidP="00406440">
      <w:pPr>
        <w:spacing w:after="0"/>
        <w:ind w:firstLine="709"/>
        <w:jc w:val="both"/>
        <w:rPr>
          <w:lang w:val="en-US"/>
        </w:rPr>
      </w:pPr>
      <w:r w:rsidRPr="001741B1">
        <w:rPr>
          <w:lang w:val="en-US"/>
        </w:rPr>
        <w:t>•</w:t>
      </w:r>
      <w:r w:rsidRPr="00A464DD">
        <w:rPr>
          <w:lang w:val="en-US"/>
        </w:rPr>
        <w:t>Tumor microe</w:t>
      </w:r>
      <w:bookmarkStart w:id="0" w:name="_GoBack"/>
      <w:bookmarkEnd w:id="0"/>
      <w:r w:rsidRPr="00A464DD">
        <w:rPr>
          <w:lang w:val="en-US"/>
        </w:rPr>
        <w:t>nvironment  </w:t>
      </w:r>
    </w:p>
    <w:p w:rsidR="00A464DD" w:rsidRPr="001741B1" w:rsidRDefault="00A464DD" w:rsidP="00406440">
      <w:pPr>
        <w:spacing w:after="0"/>
        <w:ind w:firstLine="709"/>
        <w:jc w:val="both"/>
        <w:rPr>
          <w:lang w:val="en-US"/>
        </w:rPr>
      </w:pPr>
      <w:r w:rsidRPr="001741B1">
        <w:rPr>
          <w:lang w:val="en-US"/>
        </w:rPr>
        <w:t>•</w:t>
      </w:r>
      <w:r w:rsidRPr="00A464DD">
        <w:rPr>
          <w:lang w:val="en-US"/>
        </w:rPr>
        <w:t>Tumor immunology</w:t>
      </w:r>
    </w:p>
    <w:p w:rsidR="00406440" w:rsidRPr="00A464DD" w:rsidRDefault="00406440" w:rsidP="00406440">
      <w:pPr>
        <w:spacing w:after="0"/>
        <w:ind w:firstLine="709"/>
        <w:jc w:val="both"/>
        <w:rPr>
          <w:lang w:val="en-US"/>
        </w:rPr>
      </w:pPr>
      <w:r w:rsidRPr="00A464DD">
        <w:rPr>
          <w:lang w:val="en-US"/>
        </w:rPr>
        <w:t>• Translational Cancer Medicine.</w:t>
      </w:r>
    </w:p>
    <w:p w:rsidR="00720E0E" w:rsidRPr="001741B1" w:rsidRDefault="00A2758B" w:rsidP="006164C6">
      <w:pPr>
        <w:spacing w:before="200"/>
        <w:ind w:firstLine="709"/>
        <w:jc w:val="both"/>
      </w:pPr>
      <w:r w:rsidRPr="001741B1">
        <w:t xml:space="preserve">В программу мероприятия включены доклады известных ученых-онкологов, приглашенных из разных стран мира (Россия, США, Япония, Германия, Великобритания, Норвегия, Франция, Израиль). Ожидаемое количество участников – 200 человек.  </w:t>
      </w:r>
      <w:r w:rsidR="00406440" w:rsidRPr="001741B1">
        <w:t xml:space="preserve">Материалы </w:t>
      </w:r>
      <w:r w:rsidRPr="001741B1">
        <w:t>симпозиума</w:t>
      </w:r>
      <w:r w:rsidR="00406440" w:rsidRPr="001741B1">
        <w:t xml:space="preserve"> будут опубликованы в сборнике, индексируемом баз</w:t>
      </w:r>
      <w:r w:rsidR="009F0799" w:rsidRPr="001741B1">
        <w:t xml:space="preserve">ой </w:t>
      </w:r>
      <w:r w:rsidR="00406440" w:rsidRPr="001741B1">
        <w:t xml:space="preserve">данных РИНЦ. </w:t>
      </w:r>
    </w:p>
    <w:p w:rsidR="006164C6" w:rsidRPr="001741B1" w:rsidRDefault="006164C6" w:rsidP="006164C6">
      <w:pPr>
        <w:spacing w:before="200"/>
        <w:ind w:firstLine="709"/>
        <w:jc w:val="both"/>
      </w:pPr>
      <w:r w:rsidRPr="001741B1">
        <w:rPr>
          <w:b/>
        </w:rPr>
        <w:t xml:space="preserve">Язык </w:t>
      </w:r>
      <w:r w:rsidR="00A454A1">
        <w:rPr>
          <w:b/>
        </w:rPr>
        <w:t>симпозиума</w:t>
      </w:r>
      <w:r w:rsidRPr="001741B1">
        <w:rPr>
          <w:b/>
        </w:rPr>
        <w:t xml:space="preserve"> английский.</w:t>
      </w:r>
    </w:p>
    <w:p w:rsidR="00A2758B" w:rsidRPr="001741B1" w:rsidRDefault="00A2758B" w:rsidP="00A2758B">
      <w:pPr>
        <w:spacing w:before="200"/>
        <w:ind w:firstLine="709"/>
        <w:jc w:val="both"/>
      </w:pPr>
      <w:r w:rsidRPr="001741B1">
        <w:t>Возможные формы участия в симпозиуме включают стендовый доклад</w:t>
      </w:r>
      <w:r w:rsidR="00720E0E" w:rsidRPr="001741B1">
        <w:t xml:space="preserve">, </w:t>
      </w:r>
      <w:r w:rsidRPr="001741B1">
        <w:t>публикаци</w:t>
      </w:r>
      <w:r w:rsidR="00356DB0" w:rsidRPr="001741B1">
        <w:t xml:space="preserve">ю </w:t>
      </w:r>
      <w:r w:rsidRPr="001741B1">
        <w:t>в сборнике тезисов</w:t>
      </w:r>
      <w:r w:rsidR="002E367D" w:rsidRPr="001741B1">
        <w:t xml:space="preserve">, </w:t>
      </w:r>
      <w:r w:rsidRPr="001741B1">
        <w:t>(в том числе, заочное участие).  В рамках мероприятия будет проведена сессия устных докладов молодых ученых, отобранных Организационным комитетом</w:t>
      </w:r>
      <w:r w:rsidR="00B23D12" w:rsidRPr="001741B1">
        <w:t xml:space="preserve"> на основании присланных тезис</w:t>
      </w:r>
      <w:r w:rsidR="00356DB0" w:rsidRPr="001741B1">
        <w:t>ов</w:t>
      </w:r>
      <w:r w:rsidR="00B23D12" w:rsidRPr="001741B1">
        <w:t>.</w:t>
      </w:r>
    </w:p>
    <w:p w:rsidR="005519C3" w:rsidRPr="00A454A1" w:rsidRDefault="00AA0BB2" w:rsidP="005519C3">
      <w:pPr>
        <w:spacing w:before="200"/>
        <w:ind w:firstLine="709"/>
        <w:jc w:val="both"/>
        <w:rPr>
          <w:b/>
        </w:rPr>
      </w:pPr>
      <w:r w:rsidRPr="001741B1">
        <w:lastRenderedPageBreak/>
        <w:t>Требования для авторов по оформлению тезисов прилагаются</w:t>
      </w:r>
      <w:r w:rsidR="005519C3" w:rsidRPr="001741B1">
        <w:t xml:space="preserve">. </w:t>
      </w:r>
      <w:proofErr w:type="spellStart"/>
      <w:r w:rsidR="00902525" w:rsidRPr="001741B1">
        <w:t>Постерные</w:t>
      </w:r>
      <w:proofErr w:type="spellEnd"/>
      <w:r w:rsidR="00902525" w:rsidRPr="001741B1">
        <w:t xml:space="preserve"> презентации готовятся вертикально в </w:t>
      </w:r>
      <w:r w:rsidR="00902525" w:rsidRPr="00A454A1">
        <w:rPr>
          <w:b/>
        </w:rPr>
        <w:t>формате А1.</w:t>
      </w:r>
    </w:p>
    <w:p w:rsidR="00A454A1" w:rsidRDefault="005519C3" w:rsidP="005519C3">
      <w:pPr>
        <w:spacing w:before="200"/>
        <w:ind w:firstLine="709"/>
        <w:jc w:val="both"/>
      </w:pPr>
      <w:r w:rsidRPr="001741B1">
        <w:t xml:space="preserve">Прием тезисов </w:t>
      </w:r>
      <w:r w:rsidRPr="001741B1">
        <w:rPr>
          <w:b/>
        </w:rPr>
        <w:t>до 15 июня</w:t>
      </w:r>
      <w:r w:rsidR="001741B1" w:rsidRPr="001741B1">
        <w:rPr>
          <w:b/>
        </w:rPr>
        <w:t xml:space="preserve"> </w:t>
      </w:r>
      <w:r w:rsidRPr="001741B1">
        <w:rPr>
          <w:b/>
        </w:rPr>
        <w:t>2018 г</w:t>
      </w:r>
      <w:r w:rsidR="00A454A1" w:rsidRPr="00A454A1">
        <w:rPr>
          <w:b/>
        </w:rPr>
        <w:t>.</w:t>
      </w:r>
      <w:r w:rsidR="006164C6" w:rsidRPr="001741B1">
        <w:rPr>
          <w:b/>
        </w:rPr>
        <w:t xml:space="preserve"> </w:t>
      </w:r>
      <w:r w:rsidR="006164C6" w:rsidRPr="001741B1">
        <w:t>по адресу</w:t>
      </w:r>
      <w:r w:rsidR="00255511">
        <w:t xml:space="preserve">: </w:t>
      </w:r>
      <w:r w:rsidR="006164C6" w:rsidRPr="001741B1">
        <w:t xml:space="preserve"> </w:t>
      </w:r>
      <w:r w:rsidR="00A454A1" w:rsidRPr="00255511">
        <w:rPr>
          <w:b/>
        </w:rPr>
        <w:t>heidelberger2018@</w:t>
      </w:r>
      <w:proofErr w:type="spellStart"/>
      <w:r w:rsidR="00A454A1" w:rsidRPr="00255511">
        <w:rPr>
          <w:b/>
          <w:lang w:val="en-US"/>
        </w:rPr>
        <w:t>gmail</w:t>
      </w:r>
      <w:proofErr w:type="spellEnd"/>
      <w:r w:rsidR="006164C6" w:rsidRPr="00A454A1">
        <w:rPr>
          <w:b/>
        </w:rPr>
        <w:t>.</w:t>
      </w:r>
      <w:r w:rsidR="00A454A1" w:rsidRPr="00A454A1">
        <w:rPr>
          <w:b/>
          <w:lang w:val="en-US"/>
        </w:rPr>
        <w:t>com</w:t>
      </w:r>
      <w:r w:rsidR="006164C6" w:rsidRPr="001741B1">
        <w:t xml:space="preserve"> </w:t>
      </w:r>
    </w:p>
    <w:p w:rsidR="005519C3" w:rsidRPr="001741B1" w:rsidRDefault="006164C6" w:rsidP="005519C3">
      <w:pPr>
        <w:spacing w:before="200"/>
        <w:ind w:firstLine="709"/>
        <w:jc w:val="both"/>
      </w:pPr>
      <w:r w:rsidRPr="001741B1">
        <w:t>Ответственный за прием тезисов Бабышкина Наталия Николаевна, тел. 8-3822-28-26-76 доб.3340</w:t>
      </w:r>
    </w:p>
    <w:p w:rsidR="00070D23" w:rsidRPr="00A454A1" w:rsidRDefault="00AF6BC9" w:rsidP="00070D23">
      <w:pPr>
        <w:pStyle w:val="a4"/>
        <w:shd w:val="clear" w:color="auto" w:fill="FFFFFF"/>
        <w:spacing w:after="0" w:line="240" w:lineRule="auto"/>
        <w:outlineLvl w:val="2"/>
        <w:rPr>
          <w:b/>
        </w:rPr>
      </w:pPr>
      <w:r w:rsidRPr="00A454A1">
        <w:rPr>
          <w:b/>
        </w:rPr>
        <w:t>Участие</w:t>
      </w:r>
      <w:r w:rsidRPr="00AF6BC9">
        <w:rPr>
          <w:b/>
          <w:sz w:val="24"/>
          <w:szCs w:val="24"/>
        </w:rPr>
        <w:t xml:space="preserve"> в </w:t>
      </w:r>
      <w:r w:rsidR="00A454A1" w:rsidRPr="00A454A1">
        <w:rPr>
          <w:b/>
        </w:rPr>
        <w:t>симпозиуме</w:t>
      </w:r>
      <w:r w:rsidRPr="00AF6BC9">
        <w:rPr>
          <w:b/>
          <w:sz w:val="24"/>
          <w:szCs w:val="24"/>
        </w:rPr>
        <w:t xml:space="preserve"> </w:t>
      </w:r>
      <w:r w:rsidRPr="00A454A1">
        <w:rPr>
          <w:b/>
        </w:rPr>
        <w:t>платное.</w:t>
      </w:r>
    </w:p>
    <w:p w:rsidR="00070D23" w:rsidRPr="00AF6BC9" w:rsidRDefault="00070D23" w:rsidP="00070D23">
      <w:pPr>
        <w:pStyle w:val="a4"/>
        <w:shd w:val="clear" w:color="auto" w:fill="FFFFFF"/>
        <w:spacing w:after="0" w:line="240" w:lineRule="auto"/>
        <w:outlineLvl w:val="2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950"/>
        <w:gridCol w:w="2951"/>
      </w:tblGrid>
      <w:tr w:rsidR="00070D23" w:rsidTr="000F4419">
        <w:tc>
          <w:tcPr>
            <w:tcW w:w="2950" w:type="dxa"/>
          </w:tcPr>
          <w:p w:rsidR="00070D23" w:rsidRPr="00070D23" w:rsidRDefault="00070D23" w:rsidP="000F4419">
            <w:pPr>
              <w:pStyle w:val="a4"/>
              <w:ind w:left="0"/>
              <w:outlineLvl w:val="2"/>
              <w:rPr>
                <w:b/>
              </w:rPr>
            </w:pPr>
          </w:p>
        </w:tc>
        <w:tc>
          <w:tcPr>
            <w:tcW w:w="2950" w:type="dxa"/>
          </w:tcPr>
          <w:p w:rsidR="00070D23" w:rsidRDefault="0003080D" w:rsidP="0003080D">
            <w:pPr>
              <w:pStyle w:val="a4"/>
              <w:ind w:left="0"/>
              <w:outlineLvl w:val="2"/>
              <w:rPr>
                <w:b/>
                <w:lang w:val="en-US"/>
              </w:rPr>
            </w:pPr>
            <w:r>
              <w:rPr>
                <w:b/>
              </w:rPr>
              <w:t>Оплата д</w:t>
            </w:r>
            <w:r w:rsidR="00AF6BC9">
              <w:rPr>
                <w:b/>
              </w:rPr>
              <w:t>о</w:t>
            </w:r>
            <w:r w:rsidR="00070D23">
              <w:rPr>
                <w:b/>
                <w:lang w:val="en-US"/>
              </w:rPr>
              <w:t xml:space="preserve"> </w:t>
            </w:r>
            <w:r w:rsidR="00070D23" w:rsidRPr="00014AC8">
              <w:rPr>
                <w:b/>
                <w:lang w:val="en-US"/>
              </w:rPr>
              <w:t xml:space="preserve">15 </w:t>
            </w:r>
            <w:r w:rsidR="00AF6BC9">
              <w:rPr>
                <w:b/>
              </w:rPr>
              <w:t>июня</w:t>
            </w:r>
            <w:r w:rsidR="00070D23" w:rsidRPr="00014AC8">
              <w:rPr>
                <w:b/>
                <w:lang w:val="en-US"/>
              </w:rPr>
              <w:t xml:space="preserve"> 2018</w:t>
            </w:r>
          </w:p>
        </w:tc>
        <w:tc>
          <w:tcPr>
            <w:tcW w:w="2951" w:type="dxa"/>
          </w:tcPr>
          <w:p w:rsidR="00070D23" w:rsidRPr="00AF6BC9" w:rsidRDefault="0003080D" w:rsidP="0003080D">
            <w:pPr>
              <w:pStyle w:val="a4"/>
              <w:ind w:left="0"/>
              <w:outlineLvl w:val="2"/>
              <w:rPr>
                <w:b/>
              </w:rPr>
            </w:pPr>
            <w:r>
              <w:rPr>
                <w:b/>
              </w:rPr>
              <w:t>Оплата п</w:t>
            </w:r>
            <w:r w:rsidR="00AF6BC9">
              <w:rPr>
                <w:b/>
              </w:rPr>
              <w:t xml:space="preserve">осле </w:t>
            </w:r>
            <w:r w:rsidR="00070D23" w:rsidRPr="00014AC8">
              <w:rPr>
                <w:b/>
                <w:lang w:val="en-US"/>
              </w:rPr>
              <w:t xml:space="preserve">15 </w:t>
            </w:r>
            <w:r w:rsidR="00AF6BC9">
              <w:rPr>
                <w:b/>
              </w:rPr>
              <w:t>июня</w:t>
            </w:r>
            <w:r w:rsidR="00070D23" w:rsidRPr="00014AC8">
              <w:rPr>
                <w:b/>
                <w:lang w:val="en-US"/>
              </w:rPr>
              <w:t xml:space="preserve"> 2018</w:t>
            </w:r>
            <w:r w:rsidR="00070D23">
              <w:rPr>
                <w:b/>
                <w:lang w:val="en-US"/>
              </w:rPr>
              <w:t xml:space="preserve"> </w:t>
            </w:r>
          </w:p>
        </w:tc>
      </w:tr>
      <w:tr w:rsidR="00070D23" w:rsidTr="000F4419">
        <w:tc>
          <w:tcPr>
            <w:tcW w:w="2950" w:type="dxa"/>
          </w:tcPr>
          <w:p w:rsidR="00070D23" w:rsidRPr="00AF6BC9" w:rsidRDefault="0003080D" w:rsidP="00AF6BC9">
            <w:pPr>
              <w:pStyle w:val="a4"/>
              <w:ind w:left="0"/>
              <w:outlineLvl w:val="2"/>
              <w:rPr>
                <w:b/>
              </w:rPr>
            </w:pPr>
            <w:r>
              <w:rPr>
                <w:b/>
                <w:bCs/>
              </w:rPr>
              <w:t>Регистрационный взнос</w:t>
            </w:r>
          </w:p>
        </w:tc>
        <w:tc>
          <w:tcPr>
            <w:tcW w:w="2950" w:type="dxa"/>
          </w:tcPr>
          <w:p w:rsidR="00070D23" w:rsidRDefault="00070D23" w:rsidP="00356DB0">
            <w:pPr>
              <w:pStyle w:val="a4"/>
              <w:ind w:left="0"/>
              <w:outlineLvl w:val="2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356DB0">
              <w:rPr>
                <w:b/>
              </w:rPr>
              <w:t>5</w:t>
            </w:r>
            <w:r>
              <w:rPr>
                <w:b/>
                <w:lang w:val="en-US"/>
              </w:rPr>
              <w:t>00 RUB</w:t>
            </w:r>
          </w:p>
        </w:tc>
        <w:tc>
          <w:tcPr>
            <w:tcW w:w="2951" w:type="dxa"/>
          </w:tcPr>
          <w:p w:rsidR="00070D23" w:rsidRDefault="00070D23" w:rsidP="000F4419">
            <w:pPr>
              <w:pStyle w:val="a4"/>
              <w:ind w:left="0"/>
              <w:outlineLvl w:val="2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4000 RUB</w:t>
            </w:r>
          </w:p>
        </w:tc>
      </w:tr>
      <w:tr w:rsidR="00070D23" w:rsidTr="000F4419">
        <w:tc>
          <w:tcPr>
            <w:tcW w:w="2950" w:type="dxa"/>
          </w:tcPr>
          <w:p w:rsidR="00070D23" w:rsidRPr="00AF6BC9" w:rsidRDefault="00AF6BC9" w:rsidP="000F4419">
            <w:pPr>
              <w:pStyle w:val="a4"/>
              <w:ind w:left="0"/>
              <w:outlineLvl w:val="2"/>
              <w:rPr>
                <w:b/>
              </w:rPr>
            </w:pPr>
            <w:r>
              <w:rPr>
                <w:b/>
                <w:bCs/>
              </w:rPr>
              <w:t>Ученые до 35 лет</w:t>
            </w:r>
          </w:p>
        </w:tc>
        <w:tc>
          <w:tcPr>
            <w:tcW w:w="2950" w:type="dxa"/>
          </w:tcPr>
          <w:p w:rsidR="00070D23" w:rsidRDefault="00356DB0" w:rsidP="000F4419">
            <w:pPr>
              <w:pStyle w:val="a4"/>
              <w:ind w:left="0"/>
              <w:outlineLvl w:val="2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070D23">
              <w:rPr>
                <w:b/>
                <w:lang w:val="en-US"/>
              </w:rPr>
              <w:t>00 RUB</w:t>
            </w:r>
          </w:p>
        </w:tc>
        <w:tc>
          <w:tcPr>
            <w:tcW w:w="2951" w:type="dxa"/>
          </w:tcPr>
          <w:p w:rsidR="00070D23" w:rsidRDefault="00070D23" w:rsidP="00356DB0">
            <w:pPr>
              <w:pStyle w:val="a4"/>
              <w:ind w:left="0"/>
              <w:outlineLvl w:val="2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356DB0">
              <w:rPr>
                <w:b/>
              </w:rPr>
              <w:t>5</w:t>
            </w:r>
            <w:r>
              <w:rPr>
                <w:b/>
                <w:lang w:val="en-US"/>
              </w:rPr>
              <w:t>00 RUB</w:t>
            </w:r>
          </w:p>
        </w:tc>
      </w:tr>
      <w:tr w:rsidR="00070D23" w:rsidTr="000F4419">
        <w:tc>
          <w:tcPr>
            <w:tcW w:w="2950" w:type="dxa"/>
          </w:tcPr>
          <w:p w:rsidR="00070D23" w:rsidRPr="00AF6BC9" w:rsidRDefault="00B23D12" w:rsidP="00AF6BC9">
            <w:pPr>
              <w:pStyle w:val="a4"/>
              <w:ind w:left="0"/>
              <w:outlineLvl w:val="2"/>
              <w:rPr>
                <w:b/>
              </w:rPr>
            </w:pPr>
            <w:r>
              <w:rPr>
                <w:b/>
              </w:rPr>
              <w:t>Публикация в сборнике</w:t>
            </w:r>
          </w:p>
        </w:tc>
        <w:tc>
          <w:tcPr>
            <w:tcW w:w="2950" w:type="dxa"/>
          </w:tcPr>
          <w:p w:rsidR="00070D23" w:rsidRDefault="00070D23" w:rsidP="000F4419">
            <w:pPr>
              <w:pStyle w:val="a4"/>
              <w:ind w:left="0"/>
              <w:outlineLvl w:val="2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 RUB</w:t>
            </w:r>
          </w:p>
        </w:tc>
        <w:tc>
          <w:tcPr>
            <w:tcW w:w="2951" w:type="dxa"/>
          </w:tcPr>
          <w:p w:rsidR="00070D23" w:rsidRDefault="00070D23" w:rsidP="000F4419">
            <w:pPr>
              <w:pStyle w:val="a4"/>
              <w:ind w:left="0"/>
              <w:outlineLvl w:val="2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 RUB</w:t>
            </w:r>
          </w:p>
        </w:tc>
      </w:tr>
      <w:tr w:rsidR="00070D23" w:rsidTr="000F4419">
        <w:tc>
          <w:tcPr>
            <w:tcW w:w="2950" w:type="dxa"/>
          </w:tcPr>
          <w:p w:rsidR="00070D23" w:rsidRPr="00AF6BC9" w:rsidRDefault="00AF6BC9" w:rsidP="000F4419">
            <w:pPr>
              <w:pStyle w:val="a4"/>
              <w:ind w:left="0"/>
              <w:outlineLvl w:val="2"/>
              <w:rPr>
                <w:b/>
              </w:rPr>
            </w:pPr>
            <w:r>
              <w:rPr>
                <w:b/>
              </w:rPr>
              <w:t>Слушатель</w:t>
            </w:r>
          </w:p>
        </w:tc>
        <w:tc>
          <w:tcPr>
            <w:tcW w:w="2950" w:type="dxa"/>
          </w:tcPr>
          <w:p w:rsidR="00070D23" w:rsidRDefault="00070D23" w:rsidP="000F4419">
            <w:pPr>
              <w:pStyle w:val="a4"/>
              <w:ind w:left="0"/>
              <w:outlineLvl w:val="2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 RUB</w:t>
            </w:r>
          </w:p>
        </w:tc>
        <w:tc>
          <w:tcPr>
            <w:tcW w:w="2951" w:type="dxa"/>
          </w:tcPr>
          <w:p w:rsidR="00070D23" w:rsidRDefault="00070D23" w:rsidP="000F4419">
            <w:pPr>
              <w:pStyle w:val="a4"/>
              <w:ind w:left="0"/>
              <w:outlineLvl w:val="2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 RUB</w:t>
            </w:r>
          </w:p>
        </w:tc>
      </w:tr>
    </w:tbl>
    <w:p w:rsidR="00400B0E" w:rsidRDefault="00400B0E" w:rsidP="00F3137D">
      <w:pPr>
        <w:spacing w:after="0"/>
        <w:ind w:firstLine="708"/>
      </w:pPr>
    </w:p>
    <w:p w:rsidR="00AF6BC9" w:rsidRDefault="00AF6BC9" w:rsidP="00F3137D">
      <w:pPr>
        <w:spacing w:after="0"/>
        <w:ind w:firstLine="708"/>
      </w:pPr>
      <w:r>
        <w:t xml:space="preserve">Регистрационный </w:t>
      </w:r>
      <w:r w:rsidR="00B23D12">
        <w:t>взнос</w:t>
      </w:r>
      <w:r>
        <w:t xml:space="preserve"> включает:</w:t>
      </w:r>
      <w:r>
        <w:br/>
        <w:t xml:space="preserve">• Доступ на все научные сессии </w:t>
      </w:r>
      <w:r w:rsidR="0058318F" w:rsidRPr="001741B1">
        <w:t>симпозиум</w:t>
      </w:r>
      <w:r w:rsidR="0058318F">
        <w:t>а</w:t>
      </w:r>
      <w:r>
        <w:br/>
        <w:t xml:space="preserve">• </w:t>
      </w:r>
      <w:r w:rsidR="00F3137D">
        <w:t>К</w:t>
      </w:r>
      <w:r>
        <w:t>офе-брейки в соответствии с программой</w:t>
      </w:r>
      <w:r>
        <w:br/>
        <w:t xml:space="preserve">• Материалы </w:t>
      </w:r>
      <w:r w:rsidR="0058318F" w:rsidRPr="001741B1">
        <w:t>симпозиум</w:t>
      </w:r>
      <w:r w:rsidR="0058318F">
        <w:t>а</w:t>
      </w:r>
      <w:r>
        <w:t xml:space="preserve"> (программа, </w:t>
      </w:r>
      <w:r w:rsidR="00B23D12">
        <w:t>сборник</w:t>
      </w:r>
      <w:r>
        <w:t xml:space="preserve"> тезисов, </w:t>
      </w:r>
      <w:proofErr w:type="spellStart"/>
      <w:r>
        <w:t>бейдж</w:t>
      </w:r>
      <w:proofErr w:type="spellEnd"/>
      <w:r w:rsidR="00B23D12">
        <w:t>, раздаточный материал</w:t>
      </w:r>
      <w:r>
        <w:t>)</w:t>
      </w:r>
    </w:p>
    <w:p w:rsidR="00F3137D" w:rsidRPr="00F3137D" w:rsidRDefault="00F3137D" w:rsidP="00F3137D">
      <w:pPr>
        <w:spacing w:after="0"/>
      </w:pPr>
      <w:r>
        <w:t xml:space="preserve">• </w:t>
      </w:r>
      <w:r w:rsidRPr="00F3137D">
        <w:t>“</w:t>
      </w:r>
      <w:proofErr w:type="spellStart"/>
      <w:r w:rsidRPr="00F3137D">
        <w:t>Welcome</w:t>
      </w:r>
      <w:proofErr w:type="spellEnd"/>
      <w:r w:rsidRPr="00F3137D">
        <w:t xml:space="preserve"> </w:t>
      </w:r>
      <w:proofErr w:type="spellStart"/>
      <w:r w:rsidRPr="00F3137D">
        <w:t>party</w:t>
      </w:r>
      <w:proofErr w:type="spellEnd"/>
      <w:r w:rsidRPr="00F3137D">
        <w:t xml:space="preserve">” </w:t>
      </w:r>
      <w:r>
        <w:t xml:space="preserve">в день открытия </w:t>
      </w:r>
      <w:r w:rsidR="0058318F" w:rsidRPr="001741B1">
        <w:t>симпозиум</w:t>
      </w:r>
      <w:r w:rsidR="0058318F">
        <w:t>а</w:t>
      </w:r>
    </w:p>
    <w:p w:rsidR="00354F75" w:rsidRDefault="00354F75" w:rsidP="0035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F75" w:rsidRPr="00725A6F" w:rsidRDefault="00354F75" w:rsidP="0035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6F">
        <w:t>Организационный взнос оплачивается путем перевода средств на указанные реквизиты любым удобным для Вас способом:</w:t>
      </w:r>
      <w:r w:rsidRPr="00725A6F">
        <w:br/>
      </w:r>
      <w:r w:rsidRPr="00725A6F">
        <w:br/>
        <w:t>- через Отделения Сбербанка по извещению-квитанции, </w:t>
      </w:r>
      <w:r w:rsidRPr="00725A6F">
        <w:br/>
        <w:t>- в личном кабинете Сбербанк Онлайн</w:t>
      </w:r>
      <w:r w:rsidRPr="00725A6F">
        <w:br/>
        <w:t>- наличным расчетом через кассу ТГУ</w:t>
      </w:r>
      <w:r w:rsidRPr="00725A6F">
        <w:br/>
        <w:t>- путем заключения договора (для юридических лиц)</w:t>
      </w:r>
      <w:r w:rsidRPr="00725A6F">
        <w:br/>
      </w:r>
      <w:r w:rsidRPr="00725A6F">
        <w:br/>
        <w:t>Подробная информация об оплате указана на сайте симпозиума в разделе "Оплата участия"</w:t>
      </w:r>
      <w:r w:rsidRPr="00725A6F">
        <w:br/>
        <w:t>По вопросам оплаты участия обращаться к Ежелой Надежде Владимировне</w:t>
      </w:r>
      <w:r w:rsidRPr="0072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725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eghelaya89@mail.ru</w:t>
        </w:r>
      </w:hyperlink>
      <w:r w:rsidRPr="00725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89234013713)</w:t>
      </w:r>
    </w:p>
    <w:p w:rsidR="005519C3" w:rsidRPr="00400B0E" w:rsidRDefault="00406440" w:rsidP="00B958E1">
      <w:pPr>
        <w:spacing w:after="120" w:line="240" w:lineRule="auto"/>
        <w:rPr>
          <w:rFonts w:cstheme="minorHAnsi"/>
        </w:rPr>
      </w:pPr>
      <w:r w:rsidRPr="00400B0E">
        <w:rPr>
          <w:rFonts w:cstheme="minorHAnsi"/>
        </w:rPr>
        <w:t xml:space="preserve">Информация о </w:t>
      </w:r>
      <w:r w:rsidR="00321B7C" w:rsidRPr="00400B0E">
        <w:rPr>
          <w:rFonts w:cstheme="minorHAnsi"/>
        </w:rPr>
        <w:t>симпозиуме</w:t>
      </w:r>
      <w:r w:rsidRPr="00400B0E">
        <w:rPr>
          <w:rFonts w:cstheme="minorHAnsi"/>
        </w:rPr>
        <w:t xml:space="preserve"> </w:t>
      </w:r>
      <w:r w:rsidR="00B23D12" w:rsidRPr="00400B0E">
        <w:rPr>
          <w:rFonts w:cstheme="minorHAnsi"/>
        </w:rPr>
        <w:t xml:space="preserve">будет </w:t>
      </w:r>
      <w:r w:rsidRPr="00400B0E">
        <w:rPr>
          <w:rFonts w:cstheme="minorHAnsi"/>
        </w:rPr>
        <w:t>доступна</w:t>
      </w:r>
      <w:r w:rsidR="00B23D12" w:rsidRPr="00400B0E">
        <w:rPr>
          <w:rFonts w:cstheme="minorHAnsi"/>
        </w:rPr>
        <w:t xml:space="preserve"> в ближайшее время</w:t>
      </w:r>
      <w:r w:rsidRPr="00400B0E">
        <w:rPr>
          <w:rFonts w:cstheme="minorHAnsi"/>
        </w:rPr>
        <w:t xml:space="preserve"> на сайте:</w:t>
      </w:r>
      <w:r w:rsidR="00400B0E">
        <w:rPr>
          <w:rFonts w:cstheme="minorHAnsi"/>
        </w:rPr>
        <w:t xml:space="preserve"> </w:t>
      </w:r>
      <w:r w:rsidR="00400B0E" w:rsidRPr="00400B0E">
        <w:rPr>
          <w:rFonts w:cstheme="minorHAnsi"/>
          <w:b/>
        </w:rPr>
        <w:t>http://heidelberger2018.ru</w:t>
      </w:r>
    </w:p>
    <w:p w:rsidR="005D7DF7" w:rsidRPr="00400B0E" w:rsidRDefault="005D7DF7" w:rsidP="000B4595">
      <w:pPr>
        <w:rPr>
          <w:rFonts w:cstheme="minorHAnsi"/>
          <w:b/>
        </w:rPr>
      </w:pPr>
      <w:r w:rsidRPr="00400B0E">
        <w:rPr>
          <w:rFonts w:cstheme="minorHAnsi"/>
          <w:b/>
        </w:rPr>
        <w:t xml:space="preserve">Проживание: </w:t>
      </w:r>
      <w:r w:rsidRPr="00400B0E">
        <w:rPr>
          <w:rFonts w:cstheme="minorHAnsi"/>
        </w:rPr>
        <w:t xml:space="preserve">Оргкомитет </w:t>
      </w:r>
      <w:r w:rsidR="0058318F" w:rsidRPr="001741B1">
        <w:t>симпозиум</w:t>
      </w:r>
      <w:r w:rsidR="0058318F">
        <w:t>а</w:t>
      </w:r>
      <w:r w:rsidRPr="00400B0E">
        <w:rPr>
          <w:rFonts w:cstheme="minorHAnsi"/>
          <w:b/>
          <w:bCs/>
          <w:lang w:val="en-US"/>
        </w:rPr>
        <w:t> </w:t>
      </w:r>
      <w:r w:rsidRPr="00400B0E">
        <w:rPr>
          <w:rFonts w:cstheme="minorHAnsi"/>
        </w:rPr>
        <w:t>может оказать содействие в бронировании номеров гостиниц </w:t>
      </w:r>
      <w:hyperlink r:id="rId10" w:tgtFrame="_blank" w:history="1">
        <w:r w:rsidRPr="00400B0E">
          <w:rPr>
            <w:rFonts w:cstheme="minorHAnsi"/>
            <w:b/>
            <w:bCs/>
            <w:color w:val="0000FF"/>
            <w:u w:val="single"/>
          </w:rPr>
          <w:t>Сибирь</w:t>
        </w:r>
      </w:hyperlink>
      <w:r w:rsidRPr="00400B0E">
        <w:rPr>
          <w:rFonts w:cstheme="minorHAnsi"/>
        </w:rPr>
        <w:t> и </w:t>
      </w:r>
      <w:hyperlink r:id="rId11" w:tgtFrame="_blank" w:history="1">
        <w:r w:rsidRPr="00400B0E">
          <w:rPr>
            <w:rFonts w:cstheme="minorHAnsi"/>
            <w:b/>
            <w:bCs/>
            <w:color w:val="0000FF"/>
            <w:u w:val="single"/>
          </w:rPr>
          <w:t>Форум</w:t>
        </w:r>
      </w:hyperlink>
      <w:r w:rsidRPr="00400B0E">
        <w:rPr>
          <w:rFonts w:cstheme="minorHAnsi"/>
          <w:b/>
          <w:bCs/>
        </w:rPr>
        <w:t> </w:t>
      </w:r>
      <w:r w:rsidRPr="00400B0E">
        <w:rPr>
          <w:rFonts w:cstheme="minorHAnsi"/>
        </w:rPr>
        <w:t>для иногородних участников.</w:t>
      </w:r>
      <w:r w:rsidR="00902525">
        <w:rPr>
          <w:rFonts w:cstheme="minorHAnsi"/>
        </w:rPr>
        <w:t xml:space="preserve"> </w:t>
      </w:r>
      <w:r w:rsidRPr="00400B0E">
        <w:rPr>
          <w:rFonts w:cstheme="minorHAnsi"/>
        </w:rPr>
        <w:t>Вы также можете самостоятельно забронировать номер по телефонам: </w:t>
      </w:r>
      <w:r w:rsidRPr="001741B1">
        <w:rPr>
          <w:rFonts w:cstheme="minorHAnsi"/>
          <w:b/>
          <w:color w:val="000000" w:themeColor="text1"/>
        </w:rPr>
        <w:t>+7 (3822) 52-72-25 и +7 (3822) 53-02-80.</w:t>
      </w:r>
      <w:r w:rsidRPr="00400B0E">
        <w:rPr>
          <w:rFonts w:cstheme="minorHAnsi"/>
          <w:color w:val="0077CC"/>
        </w:rPr>
        <w:t xml:space="preserve"> </w:t>
      </w:r>
      <w:r w:rsidRPr="00400B0E">
        <w:rPr>
          <w:rFonts w:cstheme="minorHAnsi"/>
          <w:color w:val="666666"/>
        </w:rPr>
        <w:br/>
      </w:r>
      <w:r w:rsidRPr="00400B0E">
        <w:rPr>
          <w:rFonts w:cstheme="minorHAnsi"/>
        </w:rPr>
        <w:t xml:space="preserve">Гостиницы Сибирь и Форум расположены в центре города Томска. Прогулка до Томского государственного университета (место проведения </w:t>
      </w:r>
      <w:r w:rsidR="0058318F" w:rsidRPr="001741B1">
        <w:t>симпозиум</w:t>
      </w:r>
      <w:r w:rsidR="0058318F">
        <w:t>а</w:t>
      </w:r>
      <w:r w:rsidRPr="00400B0E">
        <w:rPr>
          <w:rFonts w:cstheme="minorHAnsi"/>
        </w:rPr>
        <w:t>) займет не более 10 минут, проезд общественным транспортом от остановки "Главпочтамт" до остановки "ТГУ" осуществляется автобусами с номерами маршрутов 2, 3, 4, 12, 19, 22, 23, 26, 30, 31, 32, 112, 112 118, 119, 130/60, 150, 400, 442, 444, либо трол</w:t>
      </w:r>
      <w:r w:rsidR="00902525">
        <w:rPr>
          <w:rFonts w:cstheme="minorHAnsi"/>
        </w:rPr>
        <w:t>л</w:t>
      </w:r>
      <w:r w:rsidRPr="00400B0E">
        <w:rPr>
          <w:rFonts w:cstheme="minorHAnsi"/>
        </w:rPr>
        <w:t>ейбусами 1, 3, 4 и 8. Адрес: г.</w:t>
      </w:r>
      <w:r w:rsidR="00A454A1" w:rsidRPr="0058318F">
        <w:rPr>
          <w:rFonts w:cstheme="minorHAnsi"/>
        </w:rPr>
        <w:t xml:space="preserve"> </w:t>
      </w:r>
      <w:r w:rsidRPr="00400B0E">
        <w:rPr>
          <w:rFonts w:cstheme="minorHAnsi"/>
        </w:rPr>
        <w:t>Томск, пр.</w:t>
      </w:r>
      <w:r w:rsidR="00A454A1" w:rsidRPr="0058318F">
        <w:rPr>
          <w:rFonts w:cstheme="minorHAnsi"/>
        </w:rPr>
        <w:t xml:space="preserve"> </w:t>
      </w:r>
      <w:r w:rsidRPr="00400B0E">
        <w:rPr>
          <w:rFonts w:cstheme="minorHAnsi"/>
        </w:rPr>
        <w:t>Ленина, 91.</w:t>
      </w:r>
    </w:p>
    <w:p w:rsidR="000B4595" w:rsidRDefault="000B4595" w:rsidP="000B4595">
      <w:pPr>
        <w:rPr>
          <w:rFonts w:cstheme="minorHAnsi"/>
          <w:b/>
        </w:rPr>
      </w:pPr>
      <w:r w:rsidRPr="00400B0E">
        <w:rPr>
          <w:rFonts w:cstheme="minorHAnsi"/>
          <w:b/>
        </w:rPr>
        <w:t xml:space="preserve">Контакты оргкомитета </w:t>
      </w:r>
      <w:r w:rsidR="0058318F" w:rsidRPr="0058318F">
        <w:rPr>
          <w:b/>
        </w:rPr>
        <w:t>симпозиума</w:t>
      </w:r>
      <w:r w:rsidRPr="00400B0E">
        <w:rPr>
          <w:rFonts w:cstheme="minorHAnsi"/>
          <w:b/>
        </w:rPr>
        <w:t>: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400B0E" w:rsidRPr="00A464DD" w:rsidTr="00400B0E">
        <w:tc>
          <w:tcPr>
            <w:tcW w:w="5069" w:type="dxa"/>
          </w:tcPr>
          <w:p w:rsidR="00400B0E" w:rsidRDefault="00400B0E" w:rsidP="000B4595">
            <w:pPr>
              <w:rPr>
                <w:rFonts w:cstheme="minorHAnsi"/>
                <w:b/>
              </w:rPr>
            </w:pPr>
            <w:r w:rsidRPr="00400B0E">
              <w:rPr>
                <w:rFonts w:cstheme="minorHAnsi"/>
                <w:b/>
              </w:rPr>
              <w:t>Григорьева Евгения Сергеевна</w:t>
            </w:r>
          </w:p>
          <w:p w:rsidR="00400B0E" w:rsidRPr="00400B0E" w:rsidRDefault="00400B0E" w:rsidP="00400B0E">
            <w:pPr>
              <w:rPr>
                <w:rFonts w:cstheme="minorHAnsi"/>
              </w:rPr>
            </w:pPr>
            <w:r w:rsidRPr="00400B0E">
              <w:rPr>
                <w:rFonts w:cstheme="minorHAnsi"/>
              </w:rPr>
              <w:t>тел.: (3822) 28-26-76, доб.3348</w:t>
            </w:r>
          </w:p>
          <w:p w:rsidR="00400B0E" w:rsidRPr="00D90355" w:rsidRDefault="00400B0E" w:rsidP="00400B0E">
            <w:pPr>
              <w:rPr>
                <w:rFonts w:cstheme="minorHAnsi"/>
                <w:lang w:val="en-US"/>
              </w:rPr>
            </w:pPr>
            <w:r w:rsidRPr="00400B0E">
              <w:rPr>
                <w:rFonts w:cstheme="minorHAnsi"/>
              </w:rPr>
              <w:t>сот</w:t>
            </w:r>
            <w:proofErr w:type="gramStart"/>
            <w:r w:rsidRPr="00D90355">
              <w:rPr>
                <w:rFonts w:cstheme="minorHAnsi"/>
                <w:lang w:val="en-US"/>
              </w:rPr>
              <w:t>.: +</w:t>
            </w:r>
            <w:proofErr w:type="gramEnd"/>
            <w:r w:rsidRPr="00D90355">
              <w:rPr>
                <w:rFonts w:cstheme="minorHAnsi"/>
                <w:lang w:val="en-US"/>
              </w:rPr>
              <w:t>79138285647</w:t>
            </w:r>
          </w:p>
          <w:p w:rsidR="00400B0E" w:rsidRPr="00D90355" w:rsidRDefault="00400B0E" w:rsidP="00400B0E">
            <w:pPr>
              <w:rPr>
                <w:rFonts w:cstheme="minorHAnsi"/>
                <w:lang w:val="en-US"/>
              </w:rPr>
            </w:pPr>
            <w:r w:rsidRPr="00400B0E">
              <w:rPr>
                <w:rFonts w:cstheme="minorHAnsi"/>
                <w:lang w:val="en-US"/>
              </w:rPr>
              <w:t>e</w:t>
            </w:r>
            <w:r w:rsidRPr="00D90355">
              <w:rPr>
                <w:rFonts w:cstheme="minorHAnsi"/>
                <w:lang w:val="en-US"/>
              </w:rPr>
              <w:t>-</w:t>
            </w:r>
            <w:r w:rsidRPr="00400B0E">
              <w:rPr>
                <w:rFonts w:cstheme="minorHAnsi"/>
                <w:lang w:val="en-US"/>
              </w:rPr>
              <w:t>mail</w:t>
            </w:r>
            <w:r w:rsidRPr="00D90355">
              <w:rPr>
                <w:rFonts w:cstheme="minorHAnsi"/>
                <w:lang w:val="en-US"/>
              </w:rPr>
              <w:t xml:space="preserve">: </w:t>
            </w:r>
            <w:r w:rsidRPr="00400B0E">
              <w:rPr>
                <w:rFonts w:cstheme="minorHAnsi"/>
                <w:lang w:val="en-US"/>
              </w:rPr>
              <w:t>grigoryeva</w:t>
            </w:r>
            <w:r w:rsidRPr="00D90355">
              <w:rPr>
                <w:rFonts w:cstheme="minorHAnsi"/>
                <w:lang w:val="en-US"/>
              </w:rPr>
              <w:t>.</w:t>
            </w:r>
            <w:r w:rsidRPr="00400B0E">
              <w:rPr>
                <w:rFonts w:cstheme="minorHAnsi"/>
                <w:lang w:val="en-US"/>
              </w:rPr>
              <w:t>es</w:t>
            </w:r>
            <w:r w:rsidRPr="00D90355">
              <w:rPr>
                <w:rFonts w:cstheme="minorHAnsi"/>
                <w:lang w:val="en-US"/>
              </w:rPr>
              <w:t>@</w:t>
            </w:r>
            <w:r w:rsidRPr="00400B0E">
              <w:rPr>
                <w:rFonts w:cstheme="minorHAnsi"/>
                <w:lang w:val="en-US"/>
              </w:rPr>
              <w:t>gmail</w:t>
            </w:r>
            <w:r w:rsidRPr="00D90355">
              <w:rPr>
                <w:rFonts w:cstheme="minorHAnsi"/>
                <w:lang w:val="en-US"/>
              </w:rPr>
              <w:t>.</w:t>
            </w:r>
            <w:r w:rsidRPr="00400B0E">
              <w:rPr>
                <w:rFonts w:cstheme="minorHAnsi"/>
                <w:lang w:val="en-US"/>
              </w:rPr>
              <w:t>com</w:t>
            </w:r>
          </w:p>
          <w:p w:rsidR="00400B0E" w:rsidRPr="00D90355" w:rsidRDefault="00400B0E" w:rsidP="000B459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069" w:type="dxa"/>
          </w:tcPr>
          <w:p w:rsidR="00400B0E" w:rsidRPr="00400B0E" w:rsidRDefault="00400B0E" w:rsidP="00400B0E">
            <w:pPr>
              <w:rPr>
                <w:rFonts w:cstheme="minorHAnsi"/>
              </w:rPr>
            </w:pPr>
            <w:r w:rsidRPr="00400B0E">
              <w:rPr>
                <w:rFonts w:cstheme="minorHAnsi"/>
                <w:b/>
              </w:rPr>
              <w:t>Иванова Анна Александровна</w:t>
            </w:r>
            <w:r w:rsidRPr="00400B0E">
              <w:rPr>
                <w:rFonts w:cstheme="minorHAnsi"/>
              </w:rPr>
              <w:t xml:space="preserve">  </w:t>
            </w:r>
          </w:p>
          <w:p w:rsidR="00400B0E" w:rsidRDefault="00400B0E" w:rsidP="00400B0E">
            <w:pPr>
              <w:ind w:left="179" w:hanging="142"/>
              <w:jc w:val="both"/>
              <w:rPr>
                <w:rFonts w:cstheme="minorHAnsi"/>
              </w:rPr>
            </w:pPr>
            <w:r w:rsidRPr="00400B0E">
              <w:rPr>
                <w:rFonts w:cstheme="minorHAnsi"/>
              </w:rPr>
              <w:t>тел. 8-3822-28-26-76 доб.3340</w:t>
            </w:r>
          </w:p>
          <w:p w:rsidR="00400B0E" w:rsidRPr="00400B0E" w:rsidRDefault="00400B0E" w:rsidP="00400B0E">
            <w:pPr>
              <w:ind w:left="179" w:hanging="142"/>
              <w:jc w:val="both"/>
              <w:rPr>
                <w:rFonts w:cstheme="minorHAnsi"/>
                <w:lang w:val="en-US"/>
              </w:rPr>
            </w:pPr>
            <w:r w:rsidRPr="00400B0E">
              <w:rPr>
                <w:rFonts w:cstheme="minorHAnsi"/>
                <w:lang w:val="en-US"/>
              </w:rPr>
              <w:t>e-mail: ivanovaaa@oncology.tomsk.ru</w:t>
            </w:r>
          </w:p>
          <w:p w:rsidR="00400B0E" w:rsidRPr="00400B0E" w:rsidRDefault="00400B0E" w:rsidP="000B4595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245428" w:rsidRDefault="00245428" w:rsidP="00400B0E">
      <w:pPr>
        <w:jc w:val="center"/>
        <w:rPr>
          <w:sz w:val="24"/>
          <w:szCs w:val="24"/>
          <w:lang w:val="en-US"/>
        </w:rPr>
      </w:pPr>
    </w:p>
    <w:p w:rsidR="00A454A1" w:rsidRPr="00A454A1" w:rsidRDefault="00A454A1" w:rsidP="00A454A1">
      <w:pPr>
        <w:shd w:val="clear" w:color="auto" w:fill="FFFFFF"/>
        <w:tabs>
          <w:tab w:val="left" w:pos="456"/>
        </w:tabs>
        <w:spacing w:line="240" w:lineRule="auto"/>
        <w:rPr>
          <w:b/>
          <w:bCs/>
          <w:caps/>
        </w:rPr>
      </w:pPr>
      <w:r w:rsidRPr="00A454A1">
        <w:rPr>
          <w:b/>
          <w:bCs/>
          <w:caps/>
        </w:rPr>
        <w:t xml:space="preserve">Требования для авторов </w:t>
      </w:r>
    </w:p>
    <w:p w:rsidR="00A454A1" w:rsidRDefault="00A454A1" w:rsidP="00A454A1">
      <w:pPr>
        <w:shd w:val="clear" w:color="auto" w:fill="FFFFFF"/>
        <w:tabs>
          <w:tab w:val="left" w:pos="456"/>
        </w:tabs>
        <w:spacing w:line="240" w:lineRule="auto"/>
        <w:rPr>
          <w:color w:val="000000"/>
        </w:rPr>
      </w:pPr>
      <w:r w:rsidRPr="00610542">
        <w:rPr>
          <w:b/>
          <w:bCs/>
        </w:rPr>
        <w:lastRenderedPageBreak/>
        <w:t>Объем текста</w:t>
      </w:r>
      <w:r>
        <w:rPr>
          <w:b/>
          <w:bCs/>
        </w:rPr>
        <w:t>.</w:t>
      </w:r>
      <w:r w:rsidRPr="00610542">
        <w:t> </w:t>
      </w:r>
      <w:r>
        <w:t xml:space="preserve">Язык рукописи - английский. </w:t>
      </w:r>
      <w:r w:rsidRPr="0042536D">
        <w:rPr>
          <w:color w:val="000000"/>
        </w:rPr>
        <w:t>Объем</w:t>
      </w:r>
      <w:r w:rsidRPr="00DE5587">
        <w:rPr>
          <w:color w:val="000000"/>
        </w:rPr>
        <w:t xml:space="preserve"> </w:t>
      </w:r>
      <w:r>
        <w:rPr>
          <w:color w:val="000000"/>
        </w:rPr>
        <w:t xml:space="preserve">материалов </w:t>
      </w:r>
      <w:r w:rsidR="0058318F" w:rsidRPr="001741B1">
        <w:t>симпозиум</w:t>
      </w:r>
      <w:r w:rsidR="0058318F">
        <w:t>а</w:t>
      </w:r>
      <w:r>
        <w:rPr>
          <w:color w:val="000000"/>
        </w:rPr>
        <w:t xml:space="preserve"> – 2-4 страницы </w:t>
      </w:r>
      <w:r>
        <w:rPr>
          <w:color w:val="000000"/>
          <w:lang w:val="en-US"/>
        </w:rPr>
        <w:t>A</w:t>
      </w:r>
      <w:r w:rsidRPr="002E3502">
        <w:rPr>
          <w:color w:val="000000"/>
        </w:rPr>
        <w:t xml:space="preserve">4 </w:t>
      </w:r>
      <w:r>
        <w:rPr>
          <w:color w:val="000000"/>
        </w:rPr>
        <w:t xml:space="preserve">формата, включая список литературы. </w:t>
      </w:r>
    </w:p>
    <w:p w:rsidR="00A454A1" w:rsidRPr="00066453" w:rsidRDefault="00A454A1" w:rsidP="00A454A1">
      <w:r w:rsidRPr="00610542">
        <w:rPr>
          <w:b/>
          <w:bCs/>
        </w:rPr>
        <w:t>Формат текста.</w:t>
      </w:r>
      <w:r w:rsidRPr="00B011FD">
        <w:t xml:space="preserve"> </w:t>
      </w:r>
    </w:p>
    <w:p w:rsidR="00A454A1" w:rsidRPr="00066453" w:rsidRDefault="00A454A1" w:rsidP="00A454A1">
      <w:pPr>
        <w:spacing w:line="240" w:lineRule="auto"/>
        <w:ind w:left="284"/>
      </w:pPr>
      <w:r w:rsidRPr="00066453">
        <w:t>- шрифт основного текста «</w:t>
      </w:r>
      <w:proofErr w:type="spellStart"/>
      <w:r w:rsidRPr="00066453">
        <w:t>Times</w:t>
      </w:r>
      <w:proofErr w:type="spellEnd"/>
      <w:r w:rsidRPr="00066453">
        <w:t xml:space="preserve"> </w:t>
      </w:r>
      <w:proofErr w:type="spellStart"/>
      <w:r w:rsidRPr="00066453">
        <w:t>New</w:t>
      </w:r>
      <w:proofErr w:type="spellEnd"/>
      <w:r w:rsidRPr="00066453">
        <w:t xml:space="preserve"> </w:t>
      </w:r>
      <w:proofErr w:type="spellStart"/>
      <w:r w:rsidRPr="00066453">
        <w:t>Roman</w:t>
      </w:r>
      <w:proofErr w:type="spellEnd"/>
      <w:r w:rsidRPr="00066453">
        <w:t>»</w:t>
      </w:r>
    </w:p>
    <w:p w:rsidR="00A454A1" w:rsidRPr="00066453" w:rsidRDefault="00A454A1" w:rsidP="00A454A1">
      <w:pPr>
        <w:spacing w:line="240" w:lineRule="auto"/>
        <w:ind w:left="284"/>
      </w:pPr>
      <w:r w:rsidRPr="00066453">
        <w:t xml:space="preserve">- размер шрифта основного текста 14 пунктов </w:t>
      </w:r>
    </w:p>
    <w:p w:rsidR="00A454A1" w:rsidRPr="00066453" w:rsidRDefault="00A454A1" w:rsidP="00A454A1">
      <w:pPr>
        <w:spacing w:line="240" w:lineRule="auto"/>
        <w:ind w:left="284"/>
      </w:pPr>
      <w:r w:rsidRPr="00066453">
        <w:t xml:space="preserve">- межстрочный интервал - 1,5 </w:t>
      </w:r>
    </w:p>
    <w:p w:rsidR="00A454A1" w:rsidRPr="00066453" w:rsidRDefault="00A454A1" w:rsidP="00A454A1">
      <w:pPr>
        <w:spacing w:line="240" w:lineRule="auto"/>
        <w:ind w:left="284"/>
      </w:pPr>
      <w:r w:rsidRPr="00066453">
        <w:t>- поля  сверху и снизу-</w:t>
      </w:r>
      <w:smartTag w:uri="urn:schemas-microsoft-com:office:smarttags" w:element="metricconverter">
        <w:smartTagPr>
          <w:attr w:name="ProductID" w:val="20 мм"/>
        </w:smartTagPr>
        <w:r w:rsidRPr="00066453">
          <w:t>20 мм</w:t>
        </w:r>
      </w:smartTag>
      <w:r w:rsidRPr="00066453">
        <w:t>, слева-</w:t>
      </w:r>
      <w:smartTag w:uri="urn:schemas-microsoft-com:office:smarttags" w:element="metricconverter">
        <w:smartTagPr>
          <w:attr w:name="ProductID" w:val="30 мм"/>
        </w:smartTagPr>
        <w:r w:rsidRPr="00066453">
          <w:t>30 мм</w:t>
        </w:r>
      </w:smartTag>
      <w:r w:rsidRPr="00066453">
        <w:t>, справа-</w:t>
      </w:r>
      <w:smartTag w:uri="urn:schemas-microsoft-com:office:smarttags" w:element="metricconverter">
        <w:smartTagPr>
          <w:attr w:name="ProductID" w:val="1,5 мм"/>
        </w:smartTagPr>
        <w:r w:rsidRPr="00066453">
          <w:t>1,5 мм</w:t>
        </w:r>
      </w:smartTag>
    </w:p>
    <w:p w:rsidR="00A454A1" w:rsidRPr="00066453" w:rsidRDefault="00A454A1" w:rsidP="00A454A1">
      <w:pPr>
        <w:spacing w:line="240" w:lineRule="auto"/>
        <w:ind w:left="284"/>
      </w:pPr>
      <w:r w:rsidRPr="00066453">
        <w:t>- выравнивание по ширине</w:t>
      </w:r>
    </w:p>
    <w:p w:rsidR="00A454A1" w:rsidRDefault="00A454A1" w:rsidP="00A454A1">
      <w:pPr>
        <w:tabs>
          <w:tab w:val="left" w:pos="142"/>
        </w:tabs>
        <w:spacing w:after="0"/>
      </w:pPr>
      <w:r>
        <w:rPr>
          <w:rStyle w:val="a9"/>
        </w:rPr>
        <w:t>Название статьи-</w:t>
      </w:r>
      <w:r w:rsidRPr="00F353CB">
        <w:t xml:space="preserve"> </w:t>
      </w:r>
      <w:r w:rsidRPr="00B0536A">
        <w:t>все прописные буквы</w:t>
      </w:r>
      <w:r w:rsidRPr="00F42F33">
        <w:rPr>
          <w:rStyle w:val="a9"/>
        </w:rPr>
        <w:t>. Выравнивание по центру</w:t>
      </w:r>
      <w:r>
        <w:rPr>
          <w:rStyle w:val="a9"/>
        </w:rPr>
        <w:t>. Жирный шрифт</w:t>
      </w:r>
    </w:p>
    <w:p w:rsidR="00A454A1" w:rsidRDefault="00A454A1" w:rsidP="00A454A1">
      <w:pPr>
        <w:tabs>
          <w:tab w:val="left" w:pos="142"/>
        </w:tabs>
        <w:spacing w:after="0" w:line="240" w:lineRule="auto"/>
      </w:pPr>
      <w:r w:rsidRPr="00F353CB">
        <w:rPr>
          <w:b/>
        </w:rPr>
        <w:t>Инициалы и фамилия(и) автора(ов)</w:t>
      </w:r>
      <w:r>
        <w:t>;</w:t>
      </w:r>
      <w:r w:rsidRPr="00F42F33">
        <w:rPr>
          <w:rStyle w:val="a9"/>
        </w:rPr>
        <w:t xml:space="preserve"> Выравнивание по центру</w:t>
      </w:r>
      <w:r>
        <w:rPr>
          <w:rStyle w:val="a9"/>
        </w:rPr>
        <w:t>.</w:t>
      </w:r>
    </w:p>
    <w:p w:rsidR="00A454A1" w:rsidRDefault="00A454A1" w:rsidP="00A454A1">
      <w:pPr>
        <w:tabs>
          <w:tab w:val="left" w:pos="142"/>
        </w:tabs>
        <w:spacing w:after="0" w:line="240" w:lineRule="auto"/>
      </w:pPr>
      <w:r>
        <w:rPr>
          <w:rStyle w:val="a9"/>
        </w:rPr>
        <w:t>Учреждение:</w:t>
      </w:r>
      <w:r>
        <w:t xml:space="preserve"> название (полное), город, страна. </w:t>
      </w:r>
      <w:r w:rsidRPr="00F42F33">
        <w:rPr>
          <w:rStyle w:val="a9"/>
        </w:rPr>
        <w:t>Выравнивание по центру</w:t>
      </w:r>
      <w:r>
        <w:rPr>
          <w:rStyle w:val="a9"/>
        </w:rPr>
        <w:t>. Курсив</w:t>
      </w:r>
    </w:p>
    <w:p w:rsidR="00A454A1" w:rsidRDefault="00A454A1" w:rsidP="00A454A1">
      <w:pPr>
        <w:tabs>
          <w:tab w:val="left" w:pos="142"/>
        </w:tabs>
        <w:spacing w:after="0" w:line="240" w:lineRule="auto"/>
        <w:rPr>
          <w:i/>
        </w:rPr>
      </w:pPr>
    </w:p>
    <w:p w:rsidR="00A454A1" w:rsidRDefault="00A454A1" w:rsidP="00A454A1">
      <w:pPr>
        <w:tabs>
          <w:tab w:val="left" w:pos="142"/>
        </w:tabs>
        <w:spacing w:after="0" w:line="240" w:lineRule="auto"/>
        <w:rPr>
          <w:i/>
        </w:rPr>
      </w:pPr>
      <w:r w:rsidRPr="00807CE0">
        <w:rPr>
          <w:i/>
        </w:rPr>
        <w:t>Если в написании рукописи принимали участие авторы из разных учреждений, необходимо соотнести названия учреждений и ФИО авторов путем добавления цифровых индексов в верхнем регистре перед названиями учреждений и фамилиями соответствующих авторов.</w:t>
      </w:r>
    </w:p>
    <w:p w:rsidR="00A454A1" w:rsidRDefault="00A454A1" w:rsidP="00A454A1">
      <w:pPr>
        <w:pStyle w:val="a6"/>
        <w:spacing w:before="0" w:beforeAutospacing="0" w:after="0" w:afterAutospacing="0"/>
        <w:ind w:firstLine="540"/>
        <w:jc w:val="both"/>
        <w:rPr>
          <w:b/>
          <w:i/>
          <w:color w:val="200000"/>
        </w:rPr>
      </w:pPr>
    </w:p>
    <w:p w:rsidR="00A454A1" w:rsidRDefault="00A454A1" w:rsidP="00A454A1">
      <w:pPr>
        <w:pStyle w:val="a6"/>
        <w:spacing w:before="0" w:beforeAutospacing="0" w:after="0" w:afterAutospacing="0"/>
        <w:ind w:firstLine="540"/>
        <w:jc w:val="both"/>
        <w:rPr>
          <w:b/>
          <w:i/>
          <w:color w:val="200000"/>
        </w:rPr>
      </w:pPr>
    </w:p>
    <w:p w:rsidR="00A454A1" w:rsidRPr="00A454A1" w:rsidRDefault="00A454A1" w:rsidP="00A454A1">
      <w:pPr>
        <w:pStyle w:val="a6"/>
        <w:spacing w:before="0" w:beforeAutospacing="0" w:after="0" w:afterAutospacing="0"/>
        <w:ind w:firstLine="540"/>
        <w:jc w:val="both"/>
        <w:rPr>
          <w:b/>
          <w:i/>
          <w:color w:val="200000"/>
          <w:lang w:val="en-US"/>
        </w:rPr>
      </w:pPr>
      <w:r w:rsidRPr="00B0536A">
        <w:rPr>
          <w:b/>
          <w:i/>
          <w:color w:val="200000"/>
        </w:rPr>
        <w:t>Образец</w:t>
      </w:r>
      <w:r w:rsidRPr="00A454A1">
        <w:rPr>
          <w:b/>
          <w:i/>
          <w:color w:val="200000"/>
          <w:lang w:val="en-US"/>
        </w:rPr>
        <w:t>:</w:t>
      </w:r>
    </w:p>
    <w:p w:rsidR="00A454A1" w:rsidRPr="00A54453" w:rsidRDefault="00A454A1" w:rsidP="00A454A1">
      <w:pPr>
        <w:pStyle w:val="aa"/>
        <w:jc w:val="center"/>
        <w:rPr>
          <w:lang w:val="en-US"/>
        </w:rPr>
      </w:pPr>
      <w:r>
        <w:rPr>
          <w:lang w:val="en-US"/>
        </w:rPr>
        <w:t>NEOADJUVANT</w:t>
      </w:r>
      <w:r w:rsidRPr="00A54453">
        <w:rPr>
          <w:lang w:val="en-US"/>
        </w:rPr>
        <w:t xml:space="preserve"> </w:t>
      </w:r>
      <w:r>
        <w:rPr>
          <w:lang w:val="en-US"/>
        </w:rPr>
        <w:t>CHEMOTHERAPY</w:t>
      </w:r>
      <w:r w:rsidRPr="00A54453">
        <w:rPr>
          <w:lang w:val="en-US"/>
        </w:rPr>
        <w:t xml:space="preserve"> </w:t>
      </w:r>
      <w:r>
        <w:rPr>
          <w:lang w:val="en-US"/>
        </w:rPr>
        <w:t>FOR</w:t>
      </w:r>
      <w:r w:rsidRPr="00A54453">
        <w:rPr>
          <w:lang w:val="en-US"/>
        </w:rPr>
        <w:t xml:space="preserve"> </w:t>
      </w:r>
      <w:r>
        <w:rPr>
          <w:lang w:val="en-US"/>
        </w:rPr>
        <w:t>TREATMENT</w:t>
      </w:r>
      <w:r w:rsidRPr="00A54453">
        <w:rPr>
          <w:lang w:val="en-US"/>
        </w:rPr>
        <w:t xml:space="preserve"> ……</w:t>
      </w:r>
    </w:p>
    <w:p w:rsidR="00A454A1" w:rsidRPr="00A54453" w:rsidRDefault="00A454A1" w:rsidP="00A454A1">
      <w:pPr>
        <w:pStyle w:val="aa"/>
        <w:jc w:val="center"/>
        <w:rPr>
          <w:i/>
          <w:lang w:val="en-US"/>
        </w:rPr>
      </w:pPr>
      <w:r w:rsidRPr="004B75EF">
        <w:rPr>
          <w:i/>
        </w:rPr>
        <w:t>пропуск</w:t>
      </w:r>
      <w:r w:rsidRPr="00A54453">
        <w:rPr>
          <w:i/>
          <w:lang w:val="en-US"/>
        </w:rPr>
        <w:t xml:space="preserve"> </w:t>
      </w:r>
      <w:r w:rsidRPr="004B75EF">
        <w:rPr>
          <w:i/>
        </w:rPr>
        <w:t>строки</w:t>
      </w:r>
    </w:p>
    <w:p w:rsidR="00A454A1" w:rsidRPr="00A54453" w:rsidRDefault="00A454A1" w:rsidP="00A454A1">
      <w:pPr>
        <w:pStyle w:val="aa"/>
        <w:jc w:val="center"/>
        <w:rPr>
          <w:lang w:val="en-US"/>
        </w:rPr>
      </w:pPr>
      <w:r w:rsidRPr="00A54453">
        <w:rPr>
          <w:lang w:val="en-US"/>
        </w:rPr>
        <w:t>V.</w:t>
      </w:r>
      <w:r>
        <w:rPr>
          <w:lang w:val="en-US"/>
        </w:rPr>
        <w:t>I</w:t>
      </w:r>
      <w:r w:rsidRPr="00A54453">
        <w:rPr>
          <w:lang w:val="en-US"/>
        </w:rPr>
        <w:t xml:space="preserve">. </w:t>
      </w:r>
      <w:r>
        <w:rPr>
          <w:lang w:val="en-US"/>
        </w:rPr>
        <w:t>Ivanova</w:t>
      </w:r>
      <w:r w:rsidRPr="00A54453">
        <w:rPr>
          <w:vertAlign w:val="superscript"/>
          <w:lang w:val="en-US"/>
        </w:rPr>
        <w:t>1</w:t>
      </w:r>
      <w:r w:rsidRPr="00A54453">
        <w:rPr>
          <w:lang w:val="en-US"/>
        </w:rPr>
        <w:t xml:space="preserve">, </w:t>
      </w:r>
      <w:r>
        <w:rPr>
          <w:lang w:val="en-US"/>
        </w:rPr>
        <w:t>L</w:t>
      </w:r>
      <w:r w:rsidRPr="00A54453">
        <w:rPr>
          <w:lang w:val="en-US"/>
        </w:rPr>
        <w:t>.</w:t>
      </w:r>
      <w:r w:rsidRPr="00F42F33">
        <w:t>А</w:t>
      </w:r>
      <w:r w:rsidRPr="00A54453">
        <w:rPr>
          <w:lang w:val="en-US"/>
        </w:rPr>
        <w:t xml:space="preserve">. </w:t>
      </w:r>
      <w:r>
        <w:rPr>
          <w:lang w:val="en-US"/>
        </w:rPr>
        <w:t>Petrova</w:t>
      </w:r>
      <w:r w:rsidRPr="00A54453">
        <w:rPr>
          <w:vertAlign w:val="superscript"/>
          <w:lang w:val="en-US"/>
        </w:rPr>
        <w:t>1</w:t>
      </w:r>
      <w:proofErr w:type="gramStart"/>
      <w:r w:rsidRPr="00A54453">
        <w:rPr>
          <w:vertAlign w:val="superscript"/>
          <w:lang w:val="en-US"/>
        </w:rPr>
        <w:t>,2</w:t>
      </w:r>
      <w:proofErr w:type="gramEnd"/>
    </w:p>
    <w:p w:rsidR="00A454A1" w:rsidRPr="00A454A1" w:rsidRDefault="00A454A1" w:rsidP="00A454A1">
      <w:pPr>
        <w:pStyle w:val="aa"/>
        <w:jc w:val="center"/>
        <w:rPr>
          <w:lang w:val="en-US"/>
        </w:rPr>
      </w:pPr>
      <w:r w:rsidRPr="004B75EF">
        <w:rPr>
          <w:i/>
        </w:rPr>
        <w:t>пропуск</w:t>
      </w:r>
      <w:r w:rsidRPr="00A454A1">
        <w:rPr>
          <w:i/>
          <w:lang w:val="en-US"/>
        </w:rPr>
        <w:t xml:space="preserve"> </w:t>
      </w:r>
      <w:r w:rsidRPr="004B75EF">
        <w:rPr>
          <w:i/>
        </w:rPr>
        <w:t>строки</w:t>
      </w:r>
    </w:p>
    <w:p w:rsidR="00A454A1" w:rsidRPr="00A454A1" w:rsidRDefault="00A454A1" w:rsidP="00A454A1">
      <w:pPr>
        <w:pStyle w:val="aa"/>
        <w:jc w:val="center"/>
        <w:rPr>
          <w:lang w:val="en-US"/>
        </w:rPr>
      </w:pPr>
      <w:r w:rsidRPr="00A454A1">
        <w:rPr>
          <w:vertAlign w:val="superscript"/>
          <w:lang w:val="en-US"/>
        </w:rPr>
        <w:t>1</w:t>
      </w:r>
      <w:r w:rsidRPr="00A454A1">
        <w:rPr>
          <w:lang w:val="en-US"/>
        </w:rPr>
        <w:t xml:space="preserve">Cancer Research </w:t>
      </w:r>
      <w:r>
        <w:rPr>
          <w:lang w:val="en-US"/>
        </w:rPr>
        <w:t>Institute</w:t>
      </w:r>
      <w:r w:rsidRPr="00A454A1">
        <w:rPr>
          <w:lang w:val="en-US"/>
        </w:rPr>
        <w:t xml:space="preserve">, </w:t>
      </w:r>
      <w:r>
        <w:rPr>
          <w:lang w:val="en-US"/>
        </w:rPr>
        <w:t>Tomsk</w:t>
      </w:r>
      <w:r w:rsidRPr="00A454A1">
        <w:rPr>
          <w:lang w:val="en-US"/>
        </w:rPr>
        <w:t xml:space="preserve">, </w:t>
      </w:r>
      <w:r>
        <w:rPr>
          <w:lang w:val="en-US"/>
        </w:rPr>
        <w:t>Russia</w:t>
      </w:r>
    </w:p>
    <w:p w:rsidR="00A454A1" w:rsidRPr="00A454A1" w:rsidRDefault="00A454A1" w:rsidP="00A454A1">
      <w:pPr>
        <w:pStyle w:val="aa"/>
        <w:jc w:val="center"/>
        <w:rPr>
          <w:lang w:val="en-US"/>
        </w:rPr>
      </w:pPr>
      <w:r w:rsidRPr="004B75EF">
        <w:rPr>
          <w:i/>
        </w:rPr>
        <w:t>пропуск</w:t>
      </w:r>
      <w:r w:rsidRPr="00A454A1">
        <w:rPr>
          <w:i/>
          <w:lang w:val="en-US"/>
        </w:rPr>
        <w:t xml:space="preserve"> </w:t>
      </w:r>
      <w:r w:rsidRPr="004B75EF">
        <w:rPr>
          <w:i/>
        </w:rPr>
        <w:t>строки</w:t>
      </w:r>
    </w:p>
    <w:p w:rsidR="00A454A1" w:rsidRPr="00A54453" w:rsidRDefault="00A454A1" w:rsidP="00A454A1">
      <w:pPr>
        <w:pStyle w:val="aa"/>
        <w:jc w:val="center"/>
        <w:rPr>
          <w:i/>
          <w:sz w:val="22"/>
          <w:szCs w:val="22"/>
          <w:vertAlign w:val="superscript"/>
          <w:lang w:val="en-US"/>
        </w:rPr>
      </w:pPr>
      <w:r w:rsidRPr="00A54453">
        <w:rPr>
          <w:i/>
          <w:vertAlign w:val="superscript"/>
          <w:lang w:val="en-US"/>
        </w:rPr>
        <w:t>2</w:t>
      </w:r>
      <w:r w:rsidRPr="00A54453">
        <w:rPr>
          <w:i/>
          <w:lang w:val="en-US"/>
        </w:rPr>
        <w:t>Si</w:t>
      </w:r>
      <w:r>
        <w:rPr>
          <w:i/>
          <w:lang w:val="en-US"/>
        </w:rPr>
        <w:t>berian</w:t>
      </w:r>
      <w:r w:rsidRPr="00A54453">
        <w:rPr>
          <w:i/>
          <w:lang w:val="en-US"/>
        </w:rPr>
        <w:t xml:space="preserve"> </w:t>
      </w:r>
      <w:r>
        <w:rPr>
          <w:i/>
          <w:lang w:val="en-US"/>
        </w:rPr>
        <w:t>State</w:t>
      </w:r>
      <w:r w:rsidRPr="00A54453">
        <w:rPr>
          <w:i/>
          <w:lang w:val="en-US"/>
        </w:rPr>
        <w:t xml:space="preserve"> </w:t>
      </w:r>
      <w:r>
        <w:rPr>
          <w:i/>
          <w:lang w:val="en-US"/>
        </w:rPr>
        <w:t>Medical</w:t>
      </w:r>
      <w:r w:rsidRPr="00A54453">
        <w:rPr>
          <w:i/>
          <w:lang w:val="en-US"/>
        </w:rPr>
        <w:t xml:space="preserve"> </w:t>
      </w:r>
      <w:r>
        <w:rPr>
          <w:i/>
          <w:lang w:val="en-US"/>
        </w:rPr>
        <w:t>University, Tomsk, Russia</w:t>
      </w:r>
    </w:p>
    <w:p w:rsidR="00A454A1" w:rsidRDefault="00A454A1" w:rsidP="00A454A1">
      <w:pPr>
        <w:pStyle w:val="a6"/>
        <w:spacing w:before="0" w:beforeAutospacing="0" w:after="0" w:afterAutospacing="0"/>
        <w:jc w:val="center"/>
        <w:rPr>
          <w:b/>
          <w:color w:val="200000"/>
        </w:rPr>
      </w:pPr>
      <w:r w:rsidRPr="004B75EF">
        <w:rPr>
          <w:i/>
        </w:rPr>
        <w:t>пропуск строки</w:t>
      </w:r>
    </w:p>
    <w:p w:rsidR="00A454A1" w:rsidRPr="00A454A1" w:rsidRDefault="00A454A1" w:rsidP="00A454A1">
      <w:pPr>
        <w:pStyle w:val="a6"/>
        <w:spacing w:before="0" w:beforeAutospacing="0" w:after="0" w:afterAutospacing="0"/>
        <w:rPr>
          <w:rStyle w:val="a9"/>
          <w:rFonts w:asciiTheme="minorHAnsi" w:hAnsiTheme="minorHAnsi" w:cstheme="minorHAnsi"/>
          <w:b w:val="0"/>
          <w:sz w:val="22"/>
          <w:szCs w:val="22"/>
        </w:rPr>
      </w:pPr>
      <w:r w:rsidRPr="00A454A1">
        <w:rPr>
          <w:rFonts w:asciiTheme="minorHAnsi" w:hAnsiTheme="minorHAnsi" w:cstheme="minorHAnsi"/>
          <w:b/>
          <w:color w:val="200000"/>
          <w:sz w:val="22"/>
          <w:szCs w:val="22"/>
        </w:rPr>
        <w:t>Абстракт</w:t>
      </w:r>
      <w:proofErr w:type="gramStart"/>
      <w:r w:rsidRPr="00A454A1">
        <w:rPr>
          <w:rFonts w:asciiTheme="minorHAnsi" w:hAnsiTheme="minorHAnsi" w:cstheme="minorHAnsi"/>
          <w:b/>
          <w:color w:val="200000"/>
          <w:sz w:val="22"/>
          <w:szCs w:val="22"/>
        </w:rPr>
        <w:t xml:space="preserve"> :</w:t>
      </w:r>
      <w:proofErr w:type="gramEnd"/>
      <w:r w:rsidRPr="00A454A1">
        <w:rPr>
          <w:rFonts w:asciiTheme="minorHAnsi" w:hAnsiTheme="minorHAnsi" w:cstheme="minorHAnsi"/>
          <w:b/>
          <w:color w:val="200000"/>
          <w:sz w:val="22"/>
          <w:szCs w:val="22"/>
        </w:rPr>
        <w:t xml:space="preserve"> </w:t>
      </w:r>
      <w:r w:rsidRPr="00A454A1">
        <w:rPr>
          <w:rStyle w:val="a9"/>
          <w:rFonts w:asciiTheme="minorHAnsi" w:hAnsiTheme="minorHAnsi" w:cstheme="minorHAnsi"/>
          <w:sz w:val="22"/>
          <w:szCs w:val="22"/>
        </w:rPr>
        <w:t>Выравнивание по ширине</w:t>
      </w:r>
    </w:p>
    <w:p w:rsidR="00A454A1" w:rsidRPr="00A454A1" w:rsidRDefault="00A454A1" w:rsidP="00A454A1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200000"/>
          <w:sz w:val="22"/>
          <w:szCs w:val="22"/>
        </w:rPr>
      </w:pPr>
      <w:r w:rsidRPr="00A454A1">
        <w:rPr>
          <w:rStyle w:val="a9"/>
          <w:rFonts w:asciiTheme="minorHAnsi" w:hAnsiTheme="minorHAnsi" w:cstheme="minorHAnsi"/>
          <w:sz w:val="22"/>
          <w:szCs w:val="22"/>
        </w:rPr>
        <w:t>Ключевые слова</w:t>
      </w:r>
    </w:p>
    <w:p w:rsidR="00A454A1" w:rsidRDefault="00A454A1" w:rsidP="00A454A1">
      <w:pPr>
        <w:pStyle w:val="aa"/>
      </w:pPr>
    </w:p>
    <w:p w:rsidR="00A454A1" w:rsidRPr="00A454A1" w:rsidRDefault="00A454A1" w:rsidP="00A454A1">
      <w:pPr>
        <w:pStyle w:val="aa"/>
        <w:rPr>
          <w:rFonts w:asciiTheme="minorHAnsi" w:hAnsiTheme="minorHAnsi" w:cstheme="minorHAnsi"/>
        </w:rPr>
      </w:pPr>
      <w:r w:rsidRPr="00A454A1">
        <w:rPr>
          <w:rFonts w:asciiTheme="minorHAnsi" w:hAnsiTheme="minorHAnsi" w:cstheme="minorHAnsi"/>
          <w:b/>
          <w:sz w:val="22"/>
          <w:szCs w:val="22"/>
        </w:rPr>
        <w:t xml:space="preserve">Текст материалов </w:t>
      </w:r>
      <w:r w:rsidR="0058318F" w:rsidRPr="0058318F">
        <w:rPr>
          <w:b/>
          <w:sz w:val="22"/>
          <w:szCs w:val="22"/>
        </w:rPr>
        <w:t>симпозиум</w:t>
      </w:r>
      <w:r w:rsidR="0058318F" w:rsidRPr="0058318F">
        <w:rPr>
          <w:b/>
        </w:rPr>
        <w:t>а</w:t>
      </w:r>
      <w:r w:rsidRPr="00A454A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454A1">
        <w:rPr>
          <w:rStyle w:val="a9"/>
          <w:rFonts w:asciiTheme="minorHAnsi" w:hAnsiTheme="minorHAnsi" w:cstheme="minorHAnsi"/>
          <w:sz w:val="22"/>
          <w:szCs w:val="22"/>
        </w:rPr>
        <w:t xml:space="preserve">Выравнивание по ширине, </w:t>
      </w:r>
      <w:r w:rsidRPr="00A454A1">
        <w:rPr>
          <w:rFonts w:asciiTheme="minorHAnsi" w:hAnsiTheme="minorHAnsi" w:cstheme="minorHAnsi"/>
          <w:sz w:val="22"/>
          <w:szCs w:val="22"/>
        </w:rPr>
        <w:t xml:space="preserve">текст материалов </w:t>
      </w:r>
      <w:r w:rsidR="0058318F" w:rsidRPr="001741B1">
        <w:rPr>
          <w:sz w:val="22"/>
          <w:szCs w:val="22"/>
        </w:rPr>
        <w:t>симпозиум</w:t>
      </w:r>
      <w:r w:rsidR="0058318F">
        <w:t>а</w:t>
      </w:r>
      <w:r w:rsidRPr="00A454A1">
        <w:rPr>
          <w:rFonts w:asciiTheme="minorHAnsi" w:hAnsiTheme="minorHAnsi" w:cstheme="minorHAnsi"/>
          <w:sz w:val="22"/>
          <w:szCs w:val="22"/>
        </w:rPr>
        <w:t xml:space="preserve"> должен быть структурирован и содержать актуальность, материалы и методы, результаты, выводы</w:t>
      </w:r>
      <w:r w:rsidRPr="00A454A1">
        <w:rPr>
          <w:rFonts w:asciiTheme="minorHAnsi" w:hAnsiTheme="minorHAnsi" w:cstheme="minorHAnsi"/>
        </w:rPr>
        <w:t>.</w:t>
      </w:r>
    </w:p>
    <w:p w:rsidR="00A454A1" w:rsidRPr="00A454A1" w:rsidRDefault="00A454A1" w:rsidP="00A454A1">
      <w:pPr>
        <w:pStyle w:val="aa"/>
        <w:rPr>
          <w:rFonts w:asciiTheme="minorHAnsi" w:hAnsiTheme="minorHAnsi" w:cstheme="minorHAnsi"/>
          <w:b/>
        </w:rPr>
      </w:pPr>
    </w:p>
    <w:p w:rsidR="00A454A1" w:rsidRPr="00A454A1" w:rsidRDefault="00A454A1" w:rsidP="00A454A1">
      <w:pPr>
        <w:pStyle w:val="aa"/>
        <w:rPr>
          <w:rStyle w:val="a9"/>
          <w:rFonts w:asciiTheme="minorHAnsi" w:hAnsiTheme="minorHAnsi" w:cstheme="minorHAnsi"/>
          <w:b w:val="0"/>
          <w:sz w:val="22"/>
          <w:szCs w:val="22"/>
        </w:rPr>
      </w:pPr>
      <w:r w:rsidRPr="00A454A1">
        <w:rPr>
          <w:rStyle w:val="a9"/>
          <w:rFonts w:asciiTheme="minorHAnsi" w:hAnsiTheme="minorHAnsi" w:cstheme="minorHAnsi"/>
          <w:sz w:val="22"/>
          <w:szCs w:val="22"/>
        </w:rPr>
        <w:t>Таблицы и рисунки должны находиться в теле рукописи.</w:t>
      </w:r>
    </w:p>
    <w:p w:rsidR="00A454A1" w:rsidRPr="00A454A1" w:rsidRDefault="00A454A1" w:rsidP="00A454A1">
      <w:pPr>
        <w:pStyle w:val="aa"/>
        <w:rPr>
          <w:rStyle w:val="a9"/>
          <w:rFonts w:asciiTheme="minorHAnsi" w:hAnsiTheme="minorHAnsi" w:cstheme="minorHAnsi"/>
          <w:b w:val="0"/>
          <w:i/>
          <w:sz w:val="22"/>
          <w:szCs w:val="22"/>
        </w:rPr>
      </w:pPr>
      <w:r w:rsidRPr="00A454A1">
        <w:rPr>
          <w:rStyle w:val="a9"/>
          <w:rFonts w:asciiTheme="minorHAnsi" w:hAnsiTheme="minorHAnsi" w:cstheme="minorHAnsi"/>
          <w:i/>
          <w:sz w:val="22"/>
          <w:szCs w:val="22"/>
        </w:rPr>
        <w:t>Пример оформления таблицы: Выравнивание рисунка по центру</w:t>
      </w:r>
    </w:p>
    <w:p w:rsidR="00A454A1" w:rsidRPr="00A454A1" w:rsidRDefault="00A454A1" w:rsidP="00A454A1">
      <w:pPr>
        <w:pStyle w:val="aa"/>
        <w:rPr>
          <w:rFonts w:asciiTheme="minorHAnsi" w:hAnsiTheme="minorHAnsi" w:cstheme="minorHAnsi"/>
          <w:sz w:val="22"/>
          <w:szCs w:val="22"/>
        </w:rPr>
      </w:pPr>
    </w:p>
    <w:p w:rsidR="00A454A1" w:rsidRPr="00A454A1" w:rsidRDefault="00A454A1" w:rsidP="00A454A1">
      <w:pPr>
        <w:pStyle w:val="aa"/>
        <w:rPr>
          <w:rFonts w:asciiTheme="minorHAnsi" w:hAnsiTheme="minorHAnsi" w:cstheme="minorHAnsi"/>
          <w:color w:val="000000"/>
          <w:sz w:val="22"/>
          <w:szCs w:val="22"/>
        </w:rPr>
      </w:pPr>
      <w:r w:rsidRPr="00A454A1">
        <w:rPr>
          <w:rFonts w:asciiTheme="minorHAnsi" w:hAnsiTheme="minorHAnsi" w:cstheme="minorHAnsi"/>
          <w:sz w:val="22"/>
          <w:szCs w:val="22"/>
        </w:rPr>
        <w:t>Таблица 20.</w:t>
      </w:r>
      <w:r w:rsidRPr="00A454A1">
        <w:rPr>
          <w:rFonts w:asciiTheme="minorHAnsi" w:hAnsiTheme="minorHAnsi" w:cstheme="minorHAnsi"/>
          <w:b/>
          <w:sz w:val="22"/>
          <w:szCs w:val="22"/>
          <w:lang w:val="en-US"/>
        </w:rPr>
        <w:t> </w:t>
      </w:r>
      <w:r w:rsidRPr="00A454A1">
        <w:rPr>
          <w:rFonts w:asciiTheme="minorHAnsi" w:hAnsiTheme="minorHAnsi" w:cstheme="minorHAnsi"/>
          <w:b/>
          <w:sz w:val="22"/>
          <w:szCs w:val="22"/>
        </w:rPr>
        <w:t>–</w:t>
      </w:r>
      <w:r w:rsidRPr="00A454A1">
        <w:rPr>
          <w:rFonts w:asciiTheme="minorHAnsi" w:hAnsiTheme="minorHAnsi" w:cstheme="minorHAnsi"/>
          <w:b/>
          <w:sz w:val="22"/>
          <w:szCs w:val="22"/>
          <w:lang w:val="en-US"/>
        </w:rPr>
        <w:t> </w:t>
      </w:r>
      <w:r w:rsidRPr="00A454A1">
        <w:rPr>
          <w:rFonts w:asciiTheme="minorHAnsi" w:hAnsiTheme="minorHAnsi" w:cstheme="minorHAnsi"/>
          <w:sz w:val="22"/>
          <w:szCs w:val="22"/>
        </w:rPr>
        <w:t>Название таблицы.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6"/>
        <w:gridCol w:w="1418"/>
        <w:gridCol w:w="708"/>
        <w:gridCol w:w="2462"/>
        <w:gridCol w:w="1772"/>
        <w:gridCol w:w="921"/>
      </w:tblGrid>
      <w:tr w:rsidR="00A454A1" w:rsidRPr="00B94A25" w:rsidTr="00391E9E">
        <w:trPr>
          <w:jc w:val="center"/>
        </w:trPr>
        <w:tc>
          <w:tcPr>
            <w:tcW w:w="3334" w:type="dxa"/>
            <w:gridSpan w:val="2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  <w:rPr>
                <w:b/>
                <w:lang w:val="en-US"/>
              </w:rPr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921" w:type="dxa"/>
            <w:vMerge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921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  <w:rPr>
                <w:b/>
                <w:lang w:val="en-US"/>
              </w:rPr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921" w:type="dxa"/>
            <w:vMerge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921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921" w:type="dxa"/>
            <w:vMerge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921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921" w:type="dxa"/>
            <w:vMerge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921" w:type="dxa"/>
            <w:vMerge w:val="restart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</w:tr>
      <w:tr w:rsidR="00A454A1" w:rsidRPr="00B94A25" w:rsidTr="00391E9E">
        <w:trPr>
          <w:jc w:val="center"/>
        </w:trPr>
        <w:tc>
          <w:tcPr>
            <w:tcW w:w="1916" w:type="dxa"/>
            <w:vMerge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708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  <w:tc>
          <w:tcPr>
            <w:tcW w:w="1772" w:type="dxa"/>
            <w:vAlign w:val="center"/>
          </w:tcPr>
          <w:p w:rsidR="00A454A1" w:rsidRPr="00B94A25" w:rsidRDefault="00A454A1" w:rsidP="00391E9E">
            <w:pPr>
              <w:pStyle w:val="aa"/>
              <w:rPr>
                <w:lang w:val="en-US"/>
              </w:rPr>
            </w:pPr>
          </w:p>
        </w:tc>
        <w:tc>
          <w:tcPr>
            <w:tcW w:w="921" w:type="dxa"/>
            <w:vMerge/>
            <w:vAlign w:val="center"/>
          </w:tcPr>
          <w:p w:rsidR="00A454A1" w:rsidRPr="00B94A25" w:rsidRDefault="00A454A1" w:rsidP="00391E9E">
            <w:pPr>
              <w:pStyle w:val="aa"/>
            </w:pPr>
          </w:p>
        </w:tc>
      </w:tr>
    </w:tbl>
    <w:p w:rsidR="00A454A1" w:rsidRDefault="00A454A1" w:rsidP="00A454A1">
      <w:pPr>
        <w:pStyle w:val="aa"/>
        <w:rPr>
          <w:rStyle w:val="a9"/>
          <w:b w:val="0"/>
          <w:i/>
        </w:rPr>
      </w:pPr>
    </w:p>
    <w:p w:rsidR="00A454A1" w:rsidRPr="00A454A1" w:rsidRDefault="00A454A1" w:rsidP="00A454A1">
      <w:pPr>
        <w:pStyle w:val="aa"/>
        <w:rPr>
          <w:rStyle w:val="a9"/>
          <w:rFonts w:asciiTheme="minorHAnsi" w:hAnsiTheme="minorHAnsi" w:cstheme="minorHAnsi"/>
          <w:b w:val="0"/>
          <w:i/>
          <w:sz w:val="22"/>
          <w:szCs w:val="22"/>
        </w:rPr>
      </w:pPr>
      <w:r w:rsidRPr="00A454A1">
        <w:rPr>
          <w:rStyle w:val="a9"/>
          <w:rFonts w:asciiTheme="minorHAnsi" w:hAnsiTheme="minorHAnsi" w:cstheme="minorHAnsi"/>
          <w:i/>
          <w:sz w:val="22"/>
          <w:szCs w:val="22"/>
        </w:rPr>
        <w:t>Пример оформления рисунка: Выравнивание рисунка по центру</w:t>
      </w:r>
    </w:p>
    <w:p w:rsidR="00A454A1" w:rsidRDefault="00A454A1" w:rsidP="00A454A1">
      <w:pPr>
        <w:pStyle w:val="aa"/>
        <w:jc w:val="center"/>
      </w:pPr>
      <w:r w:rsidRPr="001553A9">
        <w:rPr>
          <w:noProof/>
        </w:rPr>
        <w:lastRenderedPageBreak/>
        <w:drawing>
          <wp:inline distT="0" distB="0" distL="0" distR="0">
            <wp:extent cx="2901597" cy="199577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47" cy="199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A1" w:rsidRPr="00A454A1" w:rsidRDefault="00A454A1" w:rsidP="00A454A1">
      <w:pPr>
        <w:pStyle w:val="aa"/>
        <w:rPr>
          <w:rFonts w:asciiTheme="minorHAnsi" w:hAnsiTheme="minorHAnsi" w:cstheme="minorHAnsi"/>
          <w:sz w:val="22"/>
          <w:szCs w:val="22"/>
        </w:rPr>
      </w:pPr>
      <w:r w:rsidRPr="00A454A1">
        <w:rPr>
          <w:rFonts w:asciiTheme="minorHAnsi" w:hAnsiTheme="minorHAnsi" w:cstheme="minorHAnsi"/>
          <w:sz w:val="22"/>
          <w:szCs w:val="22"/>
        </w:rPr>
        <w:t>Рисунок 1 – Хромосома красивая.</w:t>
      </w:r>
    </w:p>
    <w:p w:rsidR="00A454A1" w:rsidRPr="00A454A1" w:rsidRDefault="00A454A1" w:rsidP="00A454A1">
      <w:pPr>
        <w:pStyle w:val="aa"/>
        <w:rPr>
          <w:rFonts w:asciiTheme="minorHAnsi" w:hAnsiTheme="minorHAnsi" w:cstheme="minorHAnsi"/>
          <w:sz w:val="22"/>
          <w:szCs w:val="22"/>
        </w:rPr>
      </w:pPr>
    </w:p>
    <w:p w:rsidR="00A454A1" w:rsidRPr="00A454A1" w:rsidRDefault="00A454A1" w:rsidP="00A454A1">
      <w:pPr>
        <w:pStyle w:val="aa"/>
        <w:rPr>
          <w:rFonts w:asciiTheme="minorHAnsi" w:hAnsiTheme="minorHAnsi" w:cstheme="minorHAnsi"/>
          <w:b/>
          <w:sz w:val="22"/>
          <w:szCs w:val="22"/>
        </w:rPr>
      </w:pPr>
      <w:r w:rsidRPr="00A454A1">
        <w:rPr>
          <w:rFonts w:asciiTheme="minorHAnsi" w:hAnsiTheme="minorHAnsi" w:cstheme="minorHAnsi"/>
          <w:b/>
          <w:sz w:val="22"/>
          <w:szCs w:val="22"/>
        </w:rPr>
        <w:t>Список литературы</w:t>
      </w:r>
    </w:p>
    <w:p w:rsidR="00A454A1" w:rsidRPr="00A454A1" w:rsidRDefault="00A454A1" w:rsidP="00A454A1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A454A1">
        <w:rPr>
          <w:rFonts w:cstheme="minorHAnsi"/>
          <w:b/>
          <w:bCs/>
        </w:rPr>
        <w:t>Правила оформления списка литературы</w:t>
      </w:r>
    </w:p>
    <w:p w:rsidR="00A454A1" w:rsidRPr="00A454A1" w:rsidRDefault="00A454A1" w:rsidP="00A454A1">
      <w:pPr>
        <w:spacing w:before="100" w:beforeAutospacing="1" w:after="100" w:afterAutospacing="1" w:line="240" w:lineRule="auto"/>
        <w:rPr>
          <w:rFonts w:cstheme="minorHAnsi"/>
        </w:rPr>
      </w:pPr>
      <w:r w:rsidRPr="00A454A1">
        <w:rPr>
          <w:rFonts w:cstheme="minorHAnsi"/>
          <w:b/>
          <w:bCs/>
        </w:rPr>
        <w:t>В списке литературы не рекомендуются ссылки на авторефераты диссертаций, диссертации, малоинформативные материалы конференций.</w:t>
      </w:r>
      <w:r w:rsidRPr="00A454A1">
        <w:rPr>
          <w:rFonts w:cstheme="minorHAnsi"/>
        </w:rPr>
        <w:t> 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t>Список литературы должен соответствовать формату, рекомендуемому Американской Национальной Организацией по Информационным стандартам (</w:t>
      </w:r>
      <w:proofErr w:type="spellStart"/>
      <w:r w:rsidRPr="00663631">
        <w:t>National</w:t>
      </w:r>
      <w:proofErr w:type="spellEnd"/>
      <w:r w:rsidRPr="00663631">
        <w:t xml:space="preserve"> </w:t>
      </w:r>
      <w:proofErr w:type="spellStart"/>
      <w:r w:rsidRPr="00663631">
        <w:t>Information</w:t>
      </w:r>
      <w:proofErr w:type="spellEnd"/>
      <w:r w:rsidRPr="00663631">
        <w:t xml:space="preserve"> </w:t>
      </w:r>
      <w:proofErr w:type="spellStart"/>
      <w:r w:rsidRPr="00663631">
        <w:t>Standards</w:t>
      </w:r>
      <w:proofErr w:type="spellEnd"/>
      <w:r w:rsidRPr="00663631">
        <w:t xml:space="preserve"> </w:t>
      </w:r>
      <w:proofErr w:type="spellStart"/>
      <w:r w:rsidRPr="00663631">
        <w:t>Organisation</w:t>
      </w:r>
      <w:proofErr w:type="spellEnd"/>
      <w:r w:rsidRPr="00663631">
        <w:t xml:space="preserve"> – NISO), принятому </w:t>
      </w:r>
      <w:proofErr w:type="spellStart"/>
      <w:r w:rsidRPr="00663631">
        <w:t>National</w:t>
      </w:r>
      <w:proofErr w:type="spellEnd"/>
      <w:r w:rsidRPr="00663631">
        <w:t xml:space="preserve"> </w:t>
      </w:r>
      <w:proofErr w:type="spellStart"/>
      <w:r w:rsidRPr="00663631">
        <w:t>Library</w:t>
      </w:r>
      <w:proofErr w:type="spellEnd"/>
      <w:r w:rsidRPr="00663631">
        <w:t xml:space="preserve"> </w:t>
      </w:r>
      <w:proofErr w:type="spellStart"/>
      <w:r w:rsidRPr="00663631">
        <w:t>of</w:t>
      </w:r>
      <w:proofErr w:type="spellEnd"/>
      <w:r w:rsidRPr="00663631">
        <w:t xml:space="preserve"> </w:t>
      </w:r>
      <w:proofErr w:type="spellStart"/>
      <w:r w:rsidRPr="00663631">
        <w:t>Medicine</w:t>
      </w:r>
      <w:proofErr w:type="spellEnd"/>
      <w:r w:rsidRPr="00663631">
        <w:t xml:space="preserve"> (NLM) для баз данных (</w:t>
      </w:r>
      <w:proofErr w:type="spellStart"/>
      <w:r w:rsidRPr="00663631">
        <w:t>Library's</w:t>
      </w:r>
      <w:proofErr w:type="spellEnd"/>
      <w:r w:rsidRPr="00663631">
        <w:t xml:space="preserve"> MEDLINE/</w:t>
      </w:r>
      <w:proofErr w:type="spellStart"/>
      <w:r w:rsidRPr="00663631">
        <w:t>PubMed</w:t>
      </w:r>
      <w:proofErr w:type="spellEnd"/>
      <w:r w:rsidRPr="00663631">
        <w:t xml:space="preserve"> </w:t>
      </w:r>
      <w:proofErr w:type="spellStart"/>
      <w:r w:rsidRPr="00663631">
        <w:t>database</w:t>
      </w:r>
      <w:proofErr w:type="spellEnd"/>
      <w:r w:rsidRPr="00663631">
        <w:t>) NLM: http://www.nlm.nih.gov/citingmedicine.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t xml:space="preserve"> Если источник имеет </w:t>
      </w:r>
      <w:proofErr w:type="spellStart"/>
      <w:r w:rsidRPr="00663631">
        <w:t>doi</w:t>
      </w:r>
      <w:proofErr w:type="spellEnd"/>
      <w:r w:rsidRPr="00663631">
        <w:t>, его обязательно надо приводить (в конце записи).</w:t>
      </w:r>
    </w:p>
    <w:p w:rsidR="00A454A1" w:rsidRPr="00910939" w:rsidRDefault="00A454A1" w:rsidP="00A454A1">
      <w:pPr>
        <w:spacing w:before="100" w:beforeAutospacing="1" w:after="100" w:afterAutospacing="1" w:line="240" w:lineRule="auto"/>
        <w:rPr>
          <w:lang w:val="en-US"/>
        </w:rPr>
      </w:pPr>
      <w:r w:rsidRPr="00663631">
        <w:t> </w:t>
      </w:r>
      <w:r w:rsidRPr="00663631">
        <w:rPr>
          <w:b/>
          <w:bCs/>
        </w:rPr>
        <w:t>Библиографическое</w:t>
      </w:r>
      <w:r w:rsidRPr="00910939">
        <w:rPr>
          <w:b/>
          <w:bCs/>
          <w:lang w:val="en-US"/>
        </w:rPr>
        <w:t xml:space="preserve"> </w:t>
      </w:r>
      <w:r w:rsidRPr="00663631">
        <w:rPr>
          <w:b/>
          <w:bCs/>
        </w:rPr>
        <w:t>описание</w:t>
      </w:r>
      <w:r w:rsidRPr="00910939">
        <w:rPr>
          <w:b/>
          <w:bCs/>
          <w:lang w:val="en-US"/>
        </w:rPr>
        <w:t xml:space="preserve"> </w:t>
      </w:r>
      <w:r w:rsidRPr="00663631">
        <w:rPr>
          <w:b/>
          <w:bCs/>
        </w:rPr>
        <w:t>журнальных</w:t>
      </w:r>
      <w:r w:rsidRPr="00910939">
        <w:rPr>
          <w:b/>
          <w:bCs/>
          <w:lang w:val="en-US"/>
        </w:rPr>
        <w:t xml:space="preserve"> </w:t>
      </w:r>
      <w:r w:rsidRPr="00663631">
        <w:rPr>
          <w:b/>
          <w:bCs/>
        </w:rPr>
        <w:t>статей</w:t>
      </w:r>
      <w:r w:rsidRPr="00910939">
        <w:rPr>
          <w:b/>
          <w:bCs/>
          <w:lang w:val="en-US"/>
        </w:rPr>
        <w:t>:</w:t>
      </w:r>
    </w:p>
    <w:p w:rsidR="00A454A1" w:rsidRPr="00A464DD" w:rsidRDefault="00A454A1" w:rsidP="00A454A1">
      <w:pPr>
        <w:spacing w:before="100" w:beforeAutospacing="1" w:after="100" w:afterAutospacing="1" w:line="240" w:lineRule="auto"/>
        <w:rPr>
          <w:lang w:val="en-US"/>
        </w:rPr>
      </w:pPr>
      <w:r w:rsidRPr="00663631">
        <w:rPr>
          <w:lang w:val="en-US"/>
        </w:rPr>
        <w:t> </w:t>
      </w:r>
      <w:proofErr w:type="spellStart"/>
      <w:r w:rsidRPr="00663631">
        <w:rPr>
          <w:lang w:val="en-US"/>
        </w:rPr>
        <w:t>Rastan</w:t>
      </w:r>
      <w:proofErr w:type="spellEnd"/>
      <w:r w:rsidRPr="00663631">
        <w:rPr>
          <w:lang w:val="en-US"/>
        </w:rPr>
        <w:t xml:space="preserve"> S, Hough T, </w:t>
      </w:r>
      <w:proofErr w:type="spellStart"/>
      <w:r w:rsidRPr="00663631">
        <w:rPr>
          <w:lang w:val="en-US"/>
        </w:rPr>
        <w:t>Kierman</w:t>
      </w:r>
      <w:proofErr w:type="spellEnd"/>
      <w:r w:rsidRPr="00663631">
        <w:rPr>
          <w:lang w:val="en-US"/>
        </w:rPr>
        <w:t xml:space="preserve"> A, </w:t>
      </w:r>
      <w:proofErr w:type="spellStart"/>
      <w:r w:rsidRPr="00663631">
        <w:rPr>
          <w:lang w:val="en-US"/>
        </w:rPr>
        <w:t>Hardisty</w:t>
      </w:r>
      <w:proofErr w:type="spellEnd"/>
      <w:r w:rsidRPr="00663631">
        <w:rPr>
          <w:lang w:val="en-US"/>
        </w:rPr>
        <w:t xml:space="preserve"> R, Erven A, Gray IC, </w:t>
      </w:r>
      <w:proofErr w:type="spellStart"/>
      <w:r w:rsidRPr="00663631">
        <w:rPr>
          <w:lang w:val="en-US"/>
        </w:rPr>
        <w:t>Voeling</w:t>
      </w:r>
      <w:proofErr w:type="spellEnd"/>
      <w:r w:rsidRPr="00663631">
        <w:rPr>
          <w:lang w:val="en-US"/>
        </w:rPr>
        <w:t xml:space="preserve"> S, Isaacs A, Tsai H, </w:t>
      </w:r>
      <w:proofErr w:type="spellStart"/>
      <w:r w:rsidRPr="00663631">
        <w:rPr>
          <w:lang w:val="en-US"/>
        </w:rPr>
        <w:t>Strivens</w:t>
      </w:r>
      <w:proofErr w:type="spellEnd"/>
      <w:r w:rsidRPr="00663631">
        <w:rPr>
          <w:lang w:val="en-US"/>
        </w:rPr>
        <w:t xml:space="preserve"> M, </w:t>
      </w:r>
      <w:proofErr w:type="spellStart"/>
      <w:r w:rsidRPr="00663631">
        <w:rPr>
          <w:lang w:val="en-US"/>
        </w:rPr>
        <w:t>Washbourne</w:t>
      </w:r>
      <w:proofErr w:type="spellEnd"/>
      <w:r w:rsidRPr="00663631">
        <w:rPr>
          <w:lang w:val="en-US"/>
        </w:rPr>
        <w:t xml:space="preserve"> R, Thornton C, Greenaway S, Hewitt M, McCormick S, </w:t>
      </w:r>
      <w:proofErr w:type="spellStart"/>
      <w:r w:rsidRPr="00663631">
        <w:rPr>
          <w:lang w:val="en-US"/>
        </w:rPr>
        <w:t>Selley</w:t>
      </w:r>
      <w:proofErr w:type="spellEnd"/>
      <w:r w:rsidRPr="00663631">
        <w:rPr>
          <w:lang w:val="en-US"/>
        </w:rPr>
        <w:t xml:space="preserve"> R, Wells C, </w:t>
      </w:r>
      <w:proofErr w:type="spellStart"/>
      <w:r w:rsidRPr="00663631">
        <w:rPr>
          <w:lang w:val="en-US"/>
        </w:rPr>
        <w:t>Tymowska-Lalanne</w:t>
      </w:r>
      <w:proofErr w:type="spellEnd"/>
      <w:r w:rsidRPr="00663631">
        <w:rPr>
          <w:lang w:val="en-US"/>
        </w:rPr>
        <w:t xml:space="preserve"> Z, Roby P, </w:t>
      </w:r>
      <w:proofErr w:type="spellStart"/>
      <w:r w:rsidRPr="00663631">
        <w:rPr>
          <w:lang w:val="en-US"/>
        </w:rPr>
        <w:t>Mburu</w:t>
      </w:r>
      <w:proofErr w:type="spellEnd"/>
      <w:r w:rsidRPr="00663631">
        <w:rPr>
          <w:lang w:val="en-US"/>
        </w:rPr>
        <w:t xml:space="preserve"> P, Rogers D, Hagan J, </w:t>
      </w:r>
      <w:proofErr w:type="spellStart"/>
      <w:r w:rsidRPr="00663631">
        <w:rPr>
          <w:lang w:val="en-US"/>
        </w:rPr>
        <w:t>Reavill</w:t>
      </w:r>
      <w:proofErr w:type="spellEnd"/>
      <w:r w:rsidRPr="00663631">
        <w:rPr>
          <w:lang w:val="en-US"/>
        </w:rPr>
        <w:t xml:space="preserve"> C, Davies K, </w:t>
      </w:r>
      <w:proofErr w:type="spellStart"/>
      <w:r w:rsidRPr="00663631">
        <w:rPr>
          <w:lang w:val="en-US"/>
        </w:rPr>
        <w:t>Glenister</w:t>
      </w:r>
      <w:proofErr w:type="spellEnd"/>
      <w:r w:rsidRPr="00663631">
        <w:rPr>
          <w:lang w:val="en-US"/>
        </w:rPr>
        <w:t xml:space="preserve"> P, Fisher EM, Martin J, </w:t>
      </w:r>
      <w:proofErr w:type="spellStart"/>
      <w:r w:rsidRPr="00663631">
        <w:rPr>
          <w:lang w:val="en-US"/>
        </w:rPr>
        <w:t>Vizor</w:t>
      </w:r>
      <w:proofErr w:type="spellEnd"/>
      <w:r w:rsidRPr="00663631">
        <w:rPr>
          <w:lang w:val="en-US"/>
        </w:rPr>
        <w:t xml:space="preserve"> L, </w:t>
      </w:r>
      <w:proofErr w:type="spellStart"/>
      <w:r w:rsidRPr="00663631">
        <w:rPr>
          <w:lang w:val="en-US"/>
        </w:rPr>
        <w:t>Bouzyk</w:t>
      </w:r>
      <w:proofErr w:type="spellEnd"/>
      <w:r w:rsidRPr="00663631">
        <w:rPr>
          <w:lang w:val="en-US"/>
        </w:rPr>
        <w:t xml:space="preserve"> M, </w:t>
      </w:r>
      <w:proofErr w:type="spellStart"/>
      <w:r w:rsidRPr="00663631">
        <w:rPr>
          <w:lang w:val="en-US"/>
        </w:rPr>
        <w:t>Kelsell</w:t>
      </w:r>
      <w:proofErr w:type="spellEnd"/>
      <w:r w:rsidRPr="00663631">
        <w:rPr>
          <w:lang w:val="en-US"/>
        </w:rPr>
        <w:t xml:space="preserve"> D, </w:t>
      </w:r>
      <w:proofErr w:type="spellStart"/>
      <w:r w:rsidRPr="00663631">
        <w:rPr>
          <w:lang w:val="en-US"/>
        </w:rPr>
        <w:t>Guenet</w:t>
      </w:r>
      <w:proofErr w:type="spellEnd"/>
      <w:r w:rsidRPr="00663631">
        <w:rPr>
          <w:lang w:val="en-US"/>
        </w:rPr>
        <w:t xml:space="preserve"> JL, Steel KP, </w:t>
      </w:r>
      <w:proofErr w:type="spellStart"/>
      <w:r w:rsidRPr="00663631">
        <w:rPr>
          <w:lang w:val="en-US"/>
        </w:rPr>
        <w:t>Sheardown</w:t>
      </w:r>
      <w:proofErr w:type="spellEnd"/>
      <w:r w:rsidRPr="00663631">
        <w:rPr>
          <w:lang w:val="en-US"/>
        </w:rPr>
        <w:t xml:space="preserve"> S, </w:t>
      </w:r>
      <w:proofErr w:type="spellStart"/>
      <w:r w:rsidRPr="00663631">
        <w:rPr>
          <w:lang w:val="en-US"/>
        </w:rPr>
        <w:t>Spurr</w:t>
      </w:r>
      <w:proofErr w:type="spellEnd"/>
      <w:r w:rsidRPr="00663631">
        <w:rPr>
          <w:lang w:val="en-US"/>
        </w:rPr>
        <w:t xml:space="preserve"> N, Gray I, Peters J, Nolan PM, Hunter AJ, Brown SD. Towards a mutant map of the mouse--new models of neurological, </w:t>
      </w:r>
      <w:proofErr w:type="spellStart"/>
      <w:r w:rsidRPr="00663631">
        <w:rPr>
          <w:lang w:val="en-US"/>
        </w:rPr>
        <w:t>behavioural</w:t>
      </w:r>
      <w:proofErr w:type="spellEnd"/>
      <w:r w:rsidRPr="00663631">
        <w:rPr>
          <w:lang w:val="en-US"/>
        </w:rPr>
        <w:t xml:space="preserve">, deafness, bone, renal and blood disorders. </w:t>
      </w:r>
      <w:proofErr w:type="spellStart"/>
      <w:r w:rsidRPr="00A464DD">
        <w:rPr>
          <w:lang w:val="en-US"/>
        </w:rPr>
        <w:t>Genetica</w:t>
      </w:r>
      <w:proofErr w:type="spellEnd"/>
      <w:r w:rsidRPr="00A464DD">
        <w:rPr>
          <w:lang w:val="en-US"/>
        </w:rPr>
        <w:t>. 2004 Sep</w:t>
      </w:r>
      <w:proofErr w:type="gramStart"/>
      <w:r w:rsidRPr="00A464DD">
        <w:rPr>
          <w:lang w:val="en-US"/>
        </w:rPr>
        <w:t>;122</w:t>
      </w:r>
      <w:proofErr w:type="gramEnd"/>
      <w:r w:rsidRPr="00A464DD">
        <w:rPr>
          <w:lang w:val="en-US"/>
        </w:rPr>
        <w:t xml:space="preserve">(1):47-9. </w:t>
      </w:r>
      <w:proofErr w:type="gramStart"/>
      <w:r w:rsidRPr="00663631">
        <w:rPr>
          <w:lang w:val="en-US"/>
        </w:rPr>
        <w:t>doi</w:t>
      </w:r>
      <w:r w:rsidRPr="00A464DD">
        <w:rPr>
          <w:lang w:val="en-US"/>
        </w:rPr>
        <w:t>:</w:t>
      </w:r>
      <w:proofErr w:type="gramEnd"/>
      <w:r w:rsidRPr="00A464DD">
        <w:rPr>
          <w:lang w:val="en-US"/>
        </w:rPr>
        <w:t>10.109/1545-2413-2014-14-3-2-6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A464DD">
        <w:rPr>
          <w:lang w:val="en-US"/>
        </w:rPr>
        <w:t> </w:t>
      </w:r>
      <w:r w:rsidRPr="00663631">
        <w:rPr>
          <w:b/>
          <w:bCs/>
          <w:i/>
          <w:iCs/>
        </w:rPr>
        <w:t>Варианты библиографического описания журнальных статей (примеры):</w:t>
      </w:r>
      <w:r w:rsidRPr="00663631">
        <w:t> http://www.ncbi.nlm.nih.gov/books/NBK7282/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t> </w:t>
      </w:r>
      <w:r w:rsidRPr="00663631">
        <w:rPr>
          <w:b/>
          <w:bCs/>
        </w:rPr>
        <w:t>Библиографическое описание книг: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rPr>
          <w:lang w:val="en-US"/>
        </w:rPr>
        <w:t>Jenkins</w:t>
      </w:r>
      <w:r w:rsidRPr="00663631">
        <w:t xml:space="preserve"> </w:t>
      </w:r>
      <w:r w:rsidRPr="00663631">
        <w:rPr>
          <w:lang w:val="en-US"/>
        </w:rPr>
        <w:t>PF</w:t>
      </w:r>
      <w:r w:rsidRPr="00663631">
        <w:t xml:space="preserve">. </w:t>
      </w:r>
      <w:r w:rsidRPr="00663631">
        <w:rPr>
          <w:lang w:val="en-US"/>
        </w:rPr>
        <w:t xml:space="preserve">Making sense of the chest x-ray: a hands-on guide. New York: Oxford University Press; 2005. </w:t>
      </w:r>
      <w:r w:rsidRPr="00663631">
        <w:t>194 p.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t>  </w:t>
      </w:r>
      <w:r w:rsidRPr="00663631">
        <w:rPr>
          <w:b/>
          <w:bCs/>
          <w:i/>
          <w:iCs/>
        </w:rPr>
        <w:t>Варианты библиографического описания книг (примеры):</w:t>
      </w:r>
      <w:r w:rsidRPr="00663631">
        <w:t> http://www.ncbi.nlm.nih.gov/books/NBK7271/#A34428</w:t>
      </w:r>
    </w:p>
    <w:p w:rsidR="00A454A1" w:rsidRPr="00663631" w:rsidRDefault="00A454A1" w:rsidP="0058318F">
      <w:pPr>
        <w:spacing w:before="100" w:beforeAutospacing="1" w:after="100" w:afterAutospacing="1" w:line="240" w:lineRule="auto"/>
      </w:pPr>
      <w:r w:rsidRPr="00663631">
        <w:t> </w:t>
      </w:r>
      <w:r w:rsidRPr="00663631">
        <w:rPr>
          <w:b/>
          <w:bCs/>
        </w:rPr>
        <w:t>Библиографическое описание патентов:</w:t>
      </w:r>
    </w:p>
    <w:p w:rsidR="00A454A1" w:rsidRPr="00663631" w:rsidRDefault="00A454A1" w:rsidP="00A454A1">
      <w:pPr>
        <w:spacing w:after="0" w:line="240" w:lineRule="auto"/>
      </w:pPr>
      <w:r w:rsidRPr="00663631">
        <w:rPr>
          <w:b/>
          <w:bCs/>
        </w:rPr>
        <w:t>Библиографическое описание зарубежных патентов: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rPr>
          <w:lang w:val="en-US"/>
        </w:rPr>
        <w:t xml:space="preserve">Cho ST, inventor; </w:t>
      </w:r>
      <w:proofErr w:type="spellStart"/>
      <w:r w:rsidRPr="00663631">
        <w:rPr>
          <w:lang w:val="en-US"/>
        </w:rPr>
        <w:t>Hospira</w:t>
      </w:r>
      <w:proofErr w:type="spellEnd"/>
      <w:r w:rsidRPr="00663631">
        <w:rPr>
          <w:lang w:val="en-US"/>
        </w:rPr>
        <w:t xml:space="preserve">, Inc., assignee. Microneedles for minimally invasive drug delivery. </w:t>
      </w:r>
      <w:proofErr w:type="spellStart"/>
      <w:r w:rsidRPr="00663631">
        <w:t>United</w:t>
      </w:r>
      <w:proofErr w:type="spellEnd"/>
      <w:r w:rsidRPr="00663631">
        <w:t xml:space="preserve"> </w:t>
      </w:r>
      <w:proofErr w:type="spellStart"/>
      <w:r w:rsidRPr="00663631">
        <w:t>States</w:t>
      </w:r>
      <w:proofErr w:type="spellEnd"/>
      <w:r w:rsidRPr="00663631">
        <w:t xml:space="preserve"> </w:t>
      </w:r>
      <w:proofErr w:type="spellStart"/>
      <w:r w:rsidRPr="00663631">
        <w:t>patent</w:t>
      </w:r>
      <w:proofErr w:type="spellEnd"/>
      <w:r w:rsidRPr="00663631">
        <w:t xml:space="preserve"> US 6,980,855. 2005 </w:t>
      </w:r>
      <w:proofErr w:type="spellStart"/>
      <w:r w:rsidRPr="00663631">
        <w:t>Dec</w:t>
      </w:r>
      <w:proofErr w:type="spellEnd"/>
      <w:r w:rsidRPr="00663631">
        <w:t xml:space="preserve"> 27.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t>  </w:t>
      </w:r>
      <w:r w:rsidRPr="00663631">
        <w:rPr>
          <w:b/>
          <w:bCs/>
          <w:i/>
          <w:iCs/>
        </w:rPr>
        <w:t>Схема библиографического описания</w:t>
      </w:r>
      <w:r w:rsidRPr="00663631">
        <w:t> </w:t>
      </w:r>
      <w:r w:rsidRPr="00663631">
        <w:rPr>
          <w:b/>
          <w:bCs/>
          <w:i/>
          <w:iCs/>
        </w:rPr>
        <w:t>российских патентов: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lastRenderedPageBreak/>
        <w:t> </w:t>
      </w:r>
      <w:r w:rsidRPr="00663631">
        <w:rPr>
          <w:i/>
          <w:iCs/>
        </w:rPr>
        <w:t>Фамилия ИО изобретателя, заявителя, патентовладельца; Наименование учреждения-заявителя. Название изобретения. Обозначение вида документа, номер, название страны, индекс международной классификации изобретений. Регистрационный номер заявки; Дата подачи; Дата публикации, сведения о публикуемом документе.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58318F">
        <w:rPr>
          <w:b/>
          <w:i/>
          <w:iCs/>
        </w:rPr>
        <w:t>Варианты библиографического описания патентов(примеры</w:t>
      </w:r>
      <w:r w:rsidRPr="00663631">
        <w:rPr>
          <w:i/>
          <w:iCs/>
        </w:rPr>
        <w:t>):</w:t>
      </w:r>
      <w:r w:rsidRPr="00663631">
        <w:t> http://www.ncbi.nlm.nih.gov/books/NBK7260/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t> </w:t>
      </w:r>
      <w:r w:rsidRPr="00663631">
        <w:rPr>
          <w:b/>
          <w:bCs/>
        </w:rPr>
        <w:t>Библиографическое описание ресурсов удаленного доступа</w:t>
      </w:r>
      <w:r w:rsidRPr="00663631">
        <w:t>:</w:t>
      </w:r>
    </w:p>
    <w:p w:rsidR="00A454A1" w:rsidRPr="00663631" w:rsidRDefault="00A454A1" w:rsidP="00A454A1">
      <w:pPr>
        <w:spacing w:before="100" w:beforeAutospacing="1" w:after="100" w:afterAutospacing="1" w:line="240" w:lineRule="auto"/>
      </w:pPr>
      <w:r w:rsidRPr="00663631">
        <w:rPr>
          <w:lang w:val="en-US"/>
        </w:rPr>
        <w:t xml:space="preserve"> Complementary/Integrative Medicine [Internet]. Houston: University of Texas, M. D. Anderson Cancer Center; c2007 [cited 2007 Feb 21]. </w:t>
      </w:r>
      <w:proofErr w:type="spellStart"/>
      <w:r w:rsidRPr="00663631">
        <w:t>Available</w:t>
      </w:r>
      <w:proofErr w:type="spellEnd"/>
      <w:r w:rsidRPr="00663631">
        <w:t xml:space="preserve"> </w:t>
      </w:r>
      <w:proofErr w:type="spellStart"/>
      <w:r w:rsidRPr="00663631">
        <w:t>from</w:t>
      </w:r>
      <w:proofErr w:type="spellEnd"/>
      <w:r w:rsidRPr="00663631">
        <w:t>: http://www.mdanderson.org/departments/CIMER/.</w:t>
      </w:r>
    </w:p>
    <w:p w:rsidR="00A454A1" w:rsidRDefault="00A454A1" w:rsidP="00A454A1">
      <w:pPr>
        <w:spacing w:before="100" w:beforeAutospacing="1" w:after="100" w:afterAutospacing="1" w:line="240" w:lineRule="auto"/>
      </w:pPr>
      <w:r w:rsidRPr="00663631">
        <w:t> </w:t>
      </w:r>
      <w:r w:rsidRPr="0058318F">
        <w:rPr>
          <w:b/>
          <w:i/>
          <w:iCs/>
        </w:rPr>
        <w:t>Варианты библиографического описания ресурсов удаленного доступа</w:t>
      </w:r>
      <w:r w:rsidRPr="00663631">
        <w:rPr>
          <w:i/>
          <w:iCs/>
        </w:rPr>
        <w:t xml:space="preserve"> (примеры):</w:t>
      </w:r>
      <w:r w:rsidRPr="00663631">
        <w:t> </w:t>
      </w:r>
      <w:hyperlink r:id="rId13" w:history="1">
        <w:r w:rsidRPr="00817A48">
          <w:rPr>
            <w:rStyle w:val="a3"/>
          </w:rPr>
          <w:t>http://www.ncbi.nlm.nih.gov/books/NBK7274/</w:t>
        </w:r>
      </w:hyperlink>
    </w:p>
    <w:p w:rsidR="00A454A1" w:rsidRPr="00A454A1" w:rsidRDefault="00A454A1" w:rsidP="00400B0E">
      <w:pPr>
        <w:jc w:val="center"/>
        <w:rPr>
          <w:b/>
          <w:sz w:val="24"/>
          <w:szCs w:val="24"/>
        </w:rPr>
      </w:pPr>
    </w:p>
    <w:sectPr w:rsidR="00A454A1" w:rsidRPr="00A454A1" w:rsidSect="001741B1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BFC"/>
    <w:multiLevelType w:val="hybridMultilevel"/>
    <w:tmpl w:val="DBD8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440"/>
    <w:rsid w:val="0003080D"/>
    <w:rsid w:val="00070D23"/>
    <w:rsid w:val="000B4595"/>
    <w:rsid w:val="000D7AD3"/>
    <w:rsid w:val="001741B1"/>
    <w:rsid w:val="00216EC9"/>
    <w:rsid w:val="00245428"/>
    <w:rsid w:val="00255511"/>
    <w:rsid w:val="002E367D"/>
    <w:rsid w:val="00321B7C"/>
    <w:rsid w:val="00354F75"/>
    <w:rsid w:val="00356DB0"/>
    <w:rsid w:val="003C527C"/>
    <w:rsid w:val="00400B0E"/>
    <w:rsid w:val="00406440"/>
    <w:rsid w:val="005519C3"/>
    <w:rsid w:val="0058318F"/>
    <w:rsid w:val="005D7DF7"/>
    <w:rsid w:val="00615E85"/>
    <w:rsid w:val="006164C6"/>
    <w:rsid w:val="00720E0E"/>
    <w:rsid w:val="007B138F"/>
    <w:rsid w:val="008A20B5"/>
    <w:rsid w:val="0090063A"/>
    <w:rsid w:val="00902525"/>
    <w:rsid w:val="009C677A"/>
    <w:rsid w:val="009F0799"/>
    <w:rsid w:val="00A2758B"/>
    <w:rsid w:val="00A454A1"/>
    <w:rsid w:val="00A464DD"/>
    <w:rsid w:val="00AA0BB2"/>
    <w:rsid w:val="00AF6BC9"/>
    <w:rsid w:val="00B15B53"/>
    <w:rsid w:val="00B23D12"/>
    <w:rsid w:val="00B958E1"/>
    <w:rsid w:val="00C061F8"/>
    <w:rsid w:val="00D90355"/>
    <w:rsid w:val="00E83F5B"/>
    <w:rsid w:val="00EF3B6F"/>
    <w:rsid w:val="00F05BFC"/>
    <w:rsid w:val="00F3137D"/>
    <w:rsid w:val="00F547C1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4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428"/>
    <w:pPr>
      <w:ind w:left="720"/>
      <w:contextualSpacing/>
    </w:pPr>
  </w:style>
  <w:style w:type="table" w:styleId="a5">
    <w:name w:val="Table Grid"/>
    <w:basedOn w:val="a1"/>
    <w:uiPriority w:val="59"/>
    <w:rsid w:val="0024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5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8E1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A454A1"/>
    <w:rPr>
      <w:b/>
      <w:bCs/>
    </w:rPr>
  </w:style>
  <w:style w:type="paragraph" w:styleId="aa">
    <w:name w:val="No Spacing"/>
    <w:uiPriority w:val="1"/>
    <w:qFormat/>
    <w:rsid w:val="00A4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ncbi.nlm.nih.gov/books/NBK727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orum-otel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hotel-sibi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helaya8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TGU</cp:lastModifiedBy>
  <cp:revision>2</cp:revision>
  <cp:lastPrinted>2018-04-20T07:48:00Z</cp:lastPrinted>
  <dcterms:created xsi:type="dcterms:W3CDTF">2018-05-23T06:53:00Z</dcterms:created>
  <dcterms:modified xsi:type="dcterms:W3CDTF">2018-05-23T06:53:00Z</dcterms:modified>
</cp:coreProperties>
</file>